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A317" w14:textId="53451A19" w:rsidR="00D61BF7" w:rsidRDefault="00D61BF7" w:rsidP="00D61BF7">
      <w:pPr>
        <w:pStyle w:val="Noindent"/>
        <w:tabs>
          <w:tab w:val="clear" w:pos="426"/>
        </w:tabs>
        <w:jc w:val="left"/>
        <w:rPr>
          <w:noProof/>
        </w:rPr>
      </w:pPr>
      <w:r w:rsidRPr="00CB4CEE">
        <w:rPr>
          <w:noProof/>
        </w:rPr>
        <w:drawing>
          <wp:inline distT="0" distB="0" distL="0" distR="0" wp14:anchorId="774907F8" wp14:editId="19E07715">
            <wp:extent cx="3422650" cy="361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2650" cy="361950"/>
                    </a:xfrm>
                    <a:prstGeom prst="rect">
                      <a:avLst/>
                    </a:prstGeom>
                    <a:noFill/>
                    <a:ln>
                      <a:noFill/>
                    </a:ln>
                  </pic:spPr>
                </pic:pic>
              </a:graphicData>
            </a:graphic>
          </wp:inline>
        </w:drawing>
      </w:r>
    </w:p>
    <w:p w14:paraId="3AA41CB1" w14:textId="77777777" w:rsidR="00D61BF7" w:rsidRDefault="00D61BF7" w:rsidP="0040248E">
      <w:pPr>
        <w:pStyle w:val="Default"/>
        <w:rPr>
          <w:b/>
          <w:bCs/>
          <w:sz w:val="22"/>
          <w:szCs w:val="22"/>
        </w:rPr>
      </w:pPr>
    </w:p>
    <w:p w14:paraId="4E8829CA" w14:textId="77777777" w:rsidR="00173739" w:rsidRDefault="00173739" w:rsidP="00173739">
      <w:pPr>
        <w:pStyle w:val="Default"/>
        <w:rPr>
          <w:b/>
          <w:bCs/>
          <w:sz w:val="22"/>
          <w:szCs w:val="22"/>
        </w:rPr>
      </w:pPr>
      <w:bookmarkStart w:id="0" w:name="_Hlk103616014"/>
      <w:r>
        <w:rPr>
          <w:b/>
          <w:bCs/>
          <w:sz w:val="22"/>
          <w:szCs w:val="22"/>
        </w:rPr>
        <w:t>APPEAL R</w:t>
      </w:r>
      <w:r w:rsidRPr="0040248E">
        <w:rPr>
          <w:b/>
          <w:bCs/>
          <w:sz w:val="22"/>
          <w:szCs w:val="22"/>
        </w:rPr>
        <w:t>EF:</w:t>
      </w:r>
      <w:r>
        <w:rPr>
          <w:b/>
          <w:bCs/>
          <w:sz w:val="22"/>
          <w:szCs w:val="22"/>
        </w:rPr>
        <w:t xml:space="preserve"> </w:t>
      </w:r>
      <w:r w:rsidRPr="0040248E">
        <w:rPr>
          <w:b/>
          <w:bCs/>
          <w:sz w:val="22"/>
          <w:szCs w:val="22"/>
        </w:rPr>
        <w:t>APP/</w:t>
      </w:r>
      <w:r>
        <w:rPr>
          <w:b/>
          <w:bCs/>
          <w:sz w:val="22"/>
          <w:szCs w:val="22"/>
        </w:rPr>
        <w:t>G5180</w:t>
      </w:r>
      <w:r w:rsidRPr="0040248E">
        <w:rPr>
          <w:b/>
          <w:bCs/>
          <w:sz w:val="22"/>
          <w:szCs w:val="22"/>
        </w:rPr>
        <w:t>/W/</w:t>
      </w:r>
      <w:r>
        <w:rPr>
          <w:b/>
          <w:bCs/>
          <w:sz w:val="22"/>
          <w:szCs w:val="22"/>
        </w:rPr>
        <w:t>24</w:t>
      </w:r>
      <w:r w:rsidRPr="0040248E">
        <w:rPr>
          <w:b/>
          <w:bCs/>
          <w:sz w:val="22"/>
          <w:szCs w:val="22"/>
        </w:rPr>
        <w:t>/</w:t>
      </w:r>
      <w:r>
        <w:rPr>
          <w:b/>
          <w:bCs/>
          <w:sz w:val="22"/>
          <w:szCs w:val="22"/>
        </w:rPr>
        <w:t>3340223</w:t>
      </w:r>
    </w:p>
    <w:p w14:paraId="6C1302E8" w14:textId="77777777" w:rsidR="00172B95" w:rsidRDefault="00172B95" w:rsidP="00172B95">
      <w:pPr>
        <w:pStyle w:val="Default"/>
        <w:rPr>
          <w:b/>
          <w:bCs/>
          <w:sz w:val="22"/>
          <w:szCs w:val="22"/>
        </w:rPr>
      </w:pPr>
    </w:p>
    <w:p w14:paraId="30637F29" w14:textId="56DBA4E5" w:rsidR="00172B95" w:rsidRDefault="00173739" w:rsidP="00172B95">
      <w:pPr>
        <w:pStyle w:val="Default"/>
        <w:rPr>
          <w:sz w:val="22"/>
          <w:szCs w:val="22"/>
        </w:rPr>
      </w:pPr>
      <w:r>
        <w:rPr>
          <w:b/>
          <w:bCs/>
          <w:sz w:val="22"/>
          <w:szCs w:val="22"/>
        </w:rPr>
        <w:t>2-4 Ringers Road and 5 Ethelbert Road, Bromley, BR1 1HT</w:t>
      </w:r>
    </w:p>
    <w:p w14:paraId="74121717" w14:textId="19ACBF96" w:rsidR="00172B95" w:rsidRPr="00333160" w:rsidRDefault="00333160" w:rsidP="00333160">
      <w:pPr>
        <w:autoSpaceDE w:val="0"/>
        <w:autoSpaceDN w:val="0"/>
        <w:adjustRightInd w:val="0"/>
        <w:spacing w:after="0" w:line="240" w:lineRule="auto"/>
        <w:rPr>
          <w:rFonts w:ascii="Verdana" w:hAnsi="Verdana"/>
        </w:rPr>
      </w:pPr>
      <w:r w:rsidRPr="00333160">
        <w:rPr>
          <w:rFonts w:ascii="Verdana" w:hAnsi="Verdana" w:cs="Verdana"/>
        </w:rPr>
        <w:t>Demolition of existing buildings and construction of a mixed</w:t>
      </w:r>
      <w:r>
        <w:rPr>
          <w:rFonts w:ascii="Verdana" w:hAnsi="Verdana" w:cs="Verdana"/>
        </w:rPr>
        <w:t>-</w:t>
      </w:r>
      <w:r w:rsidRPr="00333160">
        <w:rPr>
          <w:rFonts w:ascii="Verdana" w:hAnsi="Verdana" w:cs="Verdana"/>
        </w:rPr>
        <w:t>use development comprising residential</w:t>
      </w:r>
      <w:r>
        <w:rPr>
          <w:rFonts w:ascii="Verdana" w:hAnsi="Verdana" w:cs="Verdana"/>
        </w:rPr>
        <w:t xml:space="preserve"> </w:t>
      </w:r>
      <w:r w:rsidRPr="00333160">
        <w:rPr>
          <w:rFonts w:ascii="Verdana" w:hAnsi="Verdana" w:cs="Verdana"/>
        </w:rPr>
        <w:t>units, ancillary residents' facilities (including co-working space) and commercial floor space (Use Class</w:t>
      </w:r>
      <w:r>
        <w:rPr>
          <w:rFonts w:ascii="Verdana" w:hAnsi="Verdana" w:cs="Verdana"/>
        </w:rPr>
        <w:t xml:space="preserve"> </w:t>
      </w:r>
      <w:r w:rsidRPr="00333160">
        <w:rPr>
          <w:rFonts w:ascii="Verdana" w:hAnsi="Verdana" w:cs="Verdana"/>
        </w:rPr>
        <w:t>E) across two blocks, along with associated hard and soft landscaping, amenity spaces, cycle and</w:t>
      </w:r>
      <w:r>
        <w:rPr>
          <w:rFonts w:ascii="Verdana" w:hAnsi="Verdana" w:cs="Verdana"/>
        </w:rPr>
        <w:t xml:space="preserve"> </w:t>
      </w:r>
      <w:r w:rsidRPr="00333160">
        <w:rPr>
          <w:rFonts w:ascii="Verdana" w:hAnsi="Verdana" w:cs="Verdana"/>
        </w:rPr>
        <w:t>refuse storage (</w:t>
      </w:r>
      <w:r w:rsidR="00D71924">
        <w:rPr>
          <w:rFonts w:ascii="Verdana" w:hAnsi="Verdana" w:cs="Verdana"/>
        </w:rPr>
        <w:t>r</w:t>
      </w:r>
      <w:r w:rsidRPr="00333160">
        <w:rPr>
          <w:rFonts w:ascii="Verdana" w:hAnsi="Verdana" w:cs="Verdana"/>
        </w:rPr>
        <w:t>evised scheme incorporating a second stair into Block A and Block B, internal layout</w:t>
      </w:r>
      <w:r>
        <w:rPr>
          <w:rFonts w:ascii="Verdana" w:hAnsi="Verdana" w:cs="Verdana"/>
        </w:rPr>
        <w:t xml:space="preserve"> </w:t>
      </w:r>
      <w:r w:rsidRPr="00333160">
        <w:rPr>
          <w:rFonts w:ascii="Verdana" w:hAnsi="Verdana" w:cs="Verdana"/>
        </w:rPr>
        <w:t>and elevational changes, and changes to the on street parking bays and footpath along Ringers Road</w:t>
      </w:r>
      <w:r>
        <w:rPr>
          <w:rFonts w:ascii="Verdana" w:hAnsi="Verdana" w:cs="Verdana"/>
        </w:rPr>
        <w:t xml:space="preserve"> </w:t>
      </w:r>
      <w:r w:rsidRPr="00333160">
        <w:rPr>
          <w:rFonts w:ascii="Verdana" w:hAnsi="Verdana" w:cs="Verdana"/>
        </w:rPr>
        <w:t>and Ethelbert Road).</w:t>
      </w:r>
    </w:p>
    <w:p w14:paraId="633F4083" w14:textId="77777777" w:rsidR="001A47FD" w:rsidRDefault="001A47FD" w:rsidP="0040248E">
      <w:pPr>
        <w:pStyle w:val="Default"/>
        <w:rPr>
          <w:sz w:val="22"/>
          <w:szCs w:val="22"/>
        </w:rPr>
      </w:pPr>
    </w:p>
    <w:p w14:paraId="2DFF6857" w14:textId="77777777" w:rsidR="004C6EAF" w:rsidRDefault="004C6EAF" w:rsidP="004C6EAF">
      <w:pPr>
        <w:pStyle w:val="Default"/>
        <w:rPr>
          <w:b/>
          <w:bCs/>
          <w:sz w:val="22"/>
          <w:szCs w:val="22"/>
        </w:rPr>
      </w:pPr>
      <w:r w:rsidRPr="0040248E">
        <w:rPr>
          <w:b/>
          <w:bCs/>
          <w:sz w:val="22"/>
          <w:szCs w:val="22"/>
        </w:rPr>
        <w:t>CASE MANAGEMENT CONFERENCE</w:t>
      </w:r>
      <w:r>
        <w:rPr>
          <w:b/>
          <w:bCs/>
          <w:sz w:val="22"/>
          <w:szCs w:val="22"/>
        </w:rPr>
        <w:t xml:space="preserve"> (via Microsoft Teams)</w:t>
      </w:r>
    </w:p>
    <w:p w14:paraId="3A529C9C" w14:textId="40DB5532" w:rsidR="004C6EAF" w:rsidRPr="001A47FD" w:rsidRDefault="004C6EAF" w:rsidP="004C6EAF">
      <w:pPr>
        <w:pStyle w:val="Default"/>
        <w:rPr>
          <w:sz w:val="22"/>
          <w:szCs w:val="22"/>
        </w:rPr>
      </w:pPr>
      <w:r w:rsidRPr="0040248E">
        <w:rPr>
          <w:b/>
          <w:bCs/>
          <w:sz w:val="22"/>
          <w:szCs w:val="22"/>
        </w:rPr>
        <w:t>TO BE HELD AT 10.</w:t>
      </w:r>
      <w:r>
        <w:rPr>
          <w:b/>
          <w:bCs/>
          <w:sz w:val="22"/>
          <w:szCs w:val="22"/>
        </w:rPr>
        <w:t>00</w:t>
      </w:r>
      <w:r w:rsidRPr="0040248E">
        <w:rPr>
          <w:b/>
          <w:bCs/>
          <w:sz w:val="22"/>
          <w:szCs w:val="22"/>
        </w:rPr>
        <w:t xml:space="preserve"> ON FRIDAY </w:t>
      </w:r>
      <w:r w:rsidR="00173739">
        <w:rPr>
          <w:b/>
          <w:bCs/>
          <w:sz w:val="22"/>
          <w:szCs w:val="22"/>
        </w:rPr>
        <w:t xml:space="preserve">17 </w:t>
      </w:r>
      <w:r w:rsidR="0014076B">
        <w:rPr>
          <w:b/>
          <w:bCs/>
          <w:sz w:val="22"/>
          <w:szCs w:val="22"/>
        </w:rPr>
        <w:t>MAY</w:t>
      </w:r>
      <w:r w:rsidR="00173739">
        <w:rPr>
          <w:b/>
          <w:bCs/>
          <w:sz w:val="22"/>
          <w:szCs w:val="22"/>
        </w:rPr>
        <w:t xml:space="preserve"> 202</w:t>
      </w:r>
      <w:r w:rsidR="0014076B">
        <w:rPr>
          <w:b/>
          <w:bCs/>
          <w:sz w:val="22"/>
          <w:szCs w:val="22"/>
        </w:rPr>
        <w:t>4</w:t>
      </w:r>
    </w:p>
    <w:bookmarkEnd w:id="0"/>
    <w:p w14:paraId="77F5C6A4" w14:textId="77777777" w:rsidR="0023718E" w:rsidRPr="0040248E" w:rsidRDefault="0023718E" w:rsidP="0040248E">
      <w:pPr>
        <w:pStyle w:val="Default"/>
        <w:rPr>
          <w:sz w:val="22"/>
          <w:szCs w:val="22"/>
        </w:rPr>
      </w:pPr>
    </w:p>
    <w:p w14:paraId="341D251A" w14:textId="2B37D3A8" w:rsidR="0040248E" w:rsidRDefault="0040248E" w:rsidP="0040248E">
      <w:pPr>
        <w:pStyle w:val="Default"/>
        <w:rPr>
          <w:b/>
          <w:bCs/>
          <w:sz w:val="22"/>
          <w:szCs w:val="22"/>
        </w:rPr>
      </w:pPr>
      <w:r w:rsidRPr="0040248E">
        <w:rPr>
          <w:b/>
          <w:bCs/>
          <w:sz w:val="22"/>
          <w:szCs w:val="22"/>
        </w:rPr>
        <w:t>INSPECTOR’S PRE-CONFERENCE NOTE</w:t>
      </w:r>
    </w:p>
    <w:p w14:paraId="17BF9B97" w14:textId="77777777" w:rsidR="0023718E" w:rsidRPr="0040248E" w:rsidRDefault="0023718E" w:rsidP="0040248E">
      <w:pPr>
        <w:pStyle w:val="Default"/>
        <w:rPr>
          <w:sz w:val="22"/>
          <w:szCs w:val="22"/>
        </w:rPr>
      </w:pPr>
    </w:p>
    <w:p w14:paraId="71A977F1" w14:textId="03C4B8B9" w:rsidR="0023718E" w:rsidRDefault="0040248E" w:rsidP="0040248E">
      <w:pPr>
        <w:pStyle w:val="Default"/>
        <w:numPr>
          <w:ilvl w:val="0"/>
          <w:numId w:val="14"/>
        </w:numPr>
        <w:ind w:left="567" w:hanging="567"/>
        <w:rPr>
          <w:sz w:val="22"/>
          <w:szCs w:val="22"/>
        </w:rPr>
      </w:pPr>
      <w:r w:rsidRPr="0040248E">
        <w:rPr>
          <w:sz w:val="22"/>
          <w:szCs w:val="22"/>
        </w:rPr>
        <w:t>The case management conference will be led by the Inquiry Inspector,</w:t>
      </w:r>
      <w:r w:rsidR="009F3096">
        <w:rPr>
          <w:sz w:val="22"/>
          <w:szCs w:val="22"/>
        </w:rPr>
        <w:br/>
      </w:r>
      <w:r w:rsidR="0023718E">
        <w:rPr>
          <w:sz w:val="22"/>
          <w:szCs w:val="22"/>
        </w:rPr>
        <w:t>Glen Rollings</w:t>
      </w:r>
      <w:r w:rsidR="006A7670">
        <w:rPr>
          <w:sz w:val="22"/>
          <w:szCs w:val="22"/>
        </w:rPr>
        <w:t>, a chartered town planner and urban designer</w:t>
      </w:r>
      <w:r w:rsidRPr="0040248E">
        <w:rPr>
          <w:sz w:val="22"/>
          <w:szCs w:val="22"/>
        </w:rPr>
        <w:t xml:space="preserve">. </w:t>
      </w:r>
      <w:r w:rsidR="00805037">
        <w:rPr>
          <w:sz w:val="22"/>
          <w:szCs w:val="22"/>
        </w:rPr>
        <w:t>A</w:t>
      </w:r>
      <w:r w:rsidRPr="0040248E">
        <w:rPr>
          <w:sz w:val="22"/>
          <w:szCs w:val="22"/>
        </w:rPr>
        <w:t xml:space="preserve"> </w:t>
      </w:r>
      <w:r w:rsidR="00AB37A6">
        <w:rPr>
          <w:sz w:val="22"/>
          <w:szCs w:val="22"/>
        </w:rPr>
        <w:t>conference agenda</w:t>
      </w:r>
      <w:r w:rsidR="00805037">
        <w:rPr>
          <w:sz w:val="22"/>
          <w:szCs w:val="22"/>
        </w:rPr>
        <w:t xml:space="preserve"> </w:t>
      </w:r>
      <w:r w:rsidR="006A7670">
        <w:rPr>
          <w:sz w:val="22"/>
          <w:szCs w:val="22"/>
        </w:rPr>
        <w:t>is</w:t>
      </w:r>
      <w:r w:rsidR="00805037">
        <w:rPr>
          <w:sz w:val="22"/>
          <w:szCs w:val="22"/>
        </w:rPr>
        <w:t xml:space="preserve"> sent </w:t>
      </w:r>
      <w:r w:rsidR="00FA5301">
        <w:rPr>
          <w:sz w:val="22"/>
          <w:szCs w:val="22"/>
        </w:rPr>
        <w:t>with this note</w:t>
      </w:r>
      <w:r w:rsidRPr="0040248E">
        <w:rPr>
          <w:sz w:val="22"/>
          <w:szCs w:val="22"/>
        </w:rPr>
        <w:t xml:space="preserve">. </w:t>
      </w:r>
    </w:p>
    <w:p w14:paraId="6678A10E" w14:textId="77777777" w:rsidR="0023718E" w:rsidRDefault="0023718E" w:rsidP="0023718E">
      <w:pPr>
        <w:pStyle w:val="Default"/>
        <w:ind w:left="567"/>
        <w:rPr>
          <w:sz w:val="22"/>
          <w:szCs w:val="22"/>
        </w:rPr>
      </w:pPr>
    </w:p>
    <w:p w14:paraId="21EE0577" w14:textId="23B3988C" w:rsidR="0023718E" w:rsidRDefault="0040248E" w:rsidP="0023718E">
      <w:pPr>
        <w:pStyle w:val="Default"/>
        <w:numPr>
          <w:ilvl w:val="0"/>
          <w:numId w:val="14"/>
        </w:numPr>
        <w:ind w:left="567" w:hanging="567"/>
        <w:rPr>
          <w:sz w:val="22"/>
          <w:szCs w:val="22"/>
        </w:rPr>
      </w:pPr>
      <w:r w:rsidRPr="0023718E">
        <w:rPr>
          <w:sz w:val="22"/>
          <w:szCs w:val="22"/>
        </w:rPr>
        <w:t xml:space="preserve">There will be no discussion as part of the conference as to the merits of your respective cases and </w:t>
      </w:r>
      <w:r w:rsidR="00C45E33">
        <w:rPr>
          <w:sz w:val="22"/>
          <w:szCs w:val="22"/>
        </w:rPr>
        <w:t>I</w:t>
      </w:r>
      <w:r w:rsidRPr="0023718E">
        <w:rPr>
          <w:sz w:val="22"/>
          <w:szCs w:val="22"/>
        </w:rPr>
        <w:t xml:space="preserve"> will not hear any evidence. Rather</w:t>
      </w:r>
      <w:r w:rsidR="008B7C87">
        <w:rPr>
          <w:sz w:val="22"/>
          <w:szCs w:val="22"/>
        </w:rPr>
        <w:t>,</w:t>
      </w:r>
      <w:r w:rsidRPr="0023718E">
        <w:rPr>
          <w:sz w:val="22"/>
          <w:szCs w:val="22"/>
        </w:rPr>
        <w:t xml:space="preserve"> the purpose is to set out a clear indication as to the ongoing management of this case and the presentation of evidence, so that the forthcoming Inquiry is conducted in an efficient and effective manner. </w:t>
      </w:r>
    </w:p>
    <w:p w14:paraId="6C021FF1" w14:textId="77777777" w:rsidR="0023718E" w:rsidRDefault="0023718E" w:rsidP="0023718E">
      <w:pPr>
        <w:pStyle w:val="Default"/>
        <w:rPr>
          <w:sz w:val="22"/>
          <w:szCs w:val="22"/>
        </w:rPr>
      </w:pPr>
    </w:p>
    <w:p w14:paraId="6DD043DB" w14:textId="1E5B2239" w:rsidR="00220E61" w:rsidRDefault="0040248E" w:rsidP="00220E61">
      <w:pPr>
        <w:pStyle w:val="Default"/>
        <w:numPr>
          <w:ilvl w:val="0"/>
          <w:numId w:val="14"/>
        </w:numPr>
        <w:ind w:left="567" w:hanging="567"/>
        <w:rPr>
          <w:sz w:val="22"/>
          <w:szCs w:val="22"/>
        </w:rPr>
      </w:pPr>
      <w:r w:rsidRPr="0023718E">
        <w:rPr>
          <w:sz w:val="22"/>
          <w:szCs w:val="22"/>
        </w:rPr>
        <w:t xml:space="preserve">The Inquiry is scheduled to open at 10.00am on </w:t>
      </w:r>
      <w:r w:rsidR="00CA79B1">
        <w:rPr>
          <w:sz w:val="22"/>
          <w:szCs w:val="22"/>
        </w:rPr>
        <w:t xml:space="preserve">Tuesday </w:t>
      </w:r>
      <w:r w:rsidR="003E11AA">
        <w:rPr>
          <w:sz w:val="22"/>
          <w:szCs w:val="22"/>
        </w:rPr>
        <w:t>16 July 2024</w:t>
      </w:r>
      <w:r w:rsidR="00166E22">
        <w:rPr>
          <w:sz w:val="22"/>
          <w:szCs w:val="22"/>
        </w:rPr>
        <w:t xml:space="preserve">, </w:t>
      </w:r>
      <w:r w:rsidR="008D5DAD">
        <w:rPr>
          <w:sz w:val="22"/>
          <w:szCs w:val="22"/>
        </w:rPr>
        <w:t>beginning as</w:t>
      </w:r>
      <w:r w:rsidR="00166E22">
        <w:rPr>
          <w:sz w:val="22"/>
          <w:szCs w:val="22"/>
        </w:rPr>
        <w:t xml:space="preserve"> a</w:t>
      </w:r>
      <w:r w:rsidR="00B16652">
        <w:rPr>
          <w:sz w:val="22"/>
          <w:szCs w:val="22"/>
        </w:rPr>
        <w:t xml:space="preserve">n </w:t>
      </w:r>
      <w:r w:rsidR="00425985">
        <w:rPr>
          <w:sz w:val="22"/>
          <w:szCs w:val="22"/>
        </w:rPr>
        <w:t>in-person</w:t>
      </w:r>
      <w:r w:rsidR="00B16652">
        <w:rPr>
          <w:sz w:val="22"/>
          <w:szCs w:val="22"/>
        </w:rPr>
        <w:t xml:space="preserve"> event</w:t>
      </w:r>
      <w:r w:rsidR="007F236D">
        <w:rPr>
          <w:sz w:val="22"/>
          <w:szCs w:val="22"/>
        </w:rPr>
        <w:t xml:space="preserve"> at </w:t>
      </w:r>
      <w:r w:rsidR="003E11AA">
        <w:rPr>
          <w:sz w:val="22"/>
          <w:szCs w:val="22"/>
        </w:rPr>
        <w:t>Bromley</w:t>
      </w:r>
      <w:r w:rsidR="007F236D">
        <w:rPr>
          <w:sz w:val="22"/>
          <w:szCs w:val="22"/>
        </w:rPr>
        <w:t xml:space="preserve"> Council offices</w:t>
      </w:r>
      <w:r w:rsidR="00FB3D9E">
        <w:rPr>
          <w:sz w:val="22"/>
          <w:szCs w:val="22"/>
        </w:rPr>
        <w:t>, or an alternative venue to be advised by the Council</w:t>
      </w:r>
      <w:r w:rsidRPr="0023718E">
        <w:rPr>
          <w:sz w:val="22"/>
          <w:szCs w:val="22"/>
        </w:rPr>
        <w:t xml:space="preserve">. </w:t>
      </w:r>
      <w:r w:rsidR="003E11AA">
        <w:rPr>
          <w:sz w:val="22"/>
          <w:szCs w:val="22"/>
        </w:rPr>
        <w:t>Eight</w:t>
      </w:r>
      <w:r w:rsidR="007A3F84">
        <w:rPr>
          <w:sz w:val="22"/>
          <w:szCs w:val="22"/>
        </w:rPr>
        <w:t xml:space="preserve"> sitting days are currently proposed</w:t>
      </w:r>
      <w:r w:rsidR="00EA761A">
        <w:rPr>
          <w:sz w:val="22"/>
          <w:szCs w:val="22"/>
        </w:rPr>
        <w:t>.</w:t>
      </w:r>
    </w:p>
    <w:p w14:paraId="7A19503D" w14:textId="77777777" w:rsidR="00C421E0" w:rsidRPr="00C421E0" w:rsidRDefault="00C421E0" w:rsidP="00C421E0">
      <w:pPr>
        <w:pStyle w:val="Default"/>
        <w:ind w:left="720"/>
        <w:rPr>
          <w:sz w:val="22"/>
          <w:szCs w:val="22"/>
        </w:rPr>
      </w:pPr>
    </w:p>
    <w:p w14:paraId="68B0BC70" w14:textId="2200FC17" w:rsidR="00D70F42" w:rsidRDefault="00EA761A" w:rsidP="00220E61">
      <w:pPr>
        <w:pStyle w:val="Default"/>
        <w:numPr>
          <w:ilvl w:val="0"/>
          <w:numId w:val="14"/>
        </w:numPr>
        <w:ind w:left="567" w:hanging="567"/>
        <w:rPr>
          <w:sz w:val="22"/>
          <w:szCs w:val="22"/>
        </w:rPr>
      </w:pPr>
      <w:r>
        <w:rPr>
          <w:sz w:val="22"/>
          <w:szCs w:val="22"/>
        </w:rPr>
        <w:t xml:space="preserve">No parties have applied for ‘Rule 6’ status </w:t>
      </w:r>
      <w:proofErr w:type="gramStart"/>
      <w:r>
        <w:rPr>
          <w:sz w:val="22"/>
          <w:szCs w:val="22"/>
        </w:rPr>
        <w:t>at this time</w:t>
      </w:r>
      <w:proofErr w:type="gramEnd"/>
      <w:r w:rsidR="00D83020">
        <w:rPr>
          <w:sz w:val="22"/>
          <w:szCs w:val="22"/>
        </w:rPr>
        <w:t>.</w:t>
      </w:r>
    </w:p>
    <w:p w14:paraId="38934CBC" w14:textId="77777777" w:rsidR="00220E61" w:rsidRDefault="00220E61" w:rsidP="00220E61">
      <w:pPr>
        <w:pStyle w:val="Default"/>
        <w:ind w:left="720"/>
        <w:rPr>
          <w:sz w:val="22"/>
          <w:szCs w:val="22"/>
        </w:rPr>
      </w:pPr>
    </w:p>
    <w:p w14:paraId="76305177" w14:textId="77777777" w:rsidR="00220E61" w:rsidRDefault="0040248E" w:rsidP="00220E61">
      <w:pPr>
        <w:pStyle w:val="Default"/>
        <w:rPr>
          <w:sz w:val="22"/>
          <w:szCs w:val="22"/>
        </w:rPr>
      </w:pPr>
      <w:r w:rsidRPr="00220E61">
        <w:rPr>
          <w:b/>
          <w:bCs/>
          <w:sz w:val="22"/>
          <w:szCs w:val="22"/>
        </w:rPr>
        <w:t xml:space="preserve">Main Issues </w:t>
      </w:r>
    </w:p>
    <w:p w14:paraId="2D49C1A3" w14:textId="77777777" w:rsidR="00220E61" w:rsidRDefault="00220E61" w:rsidP="00220E61">
      <w:pPr>
        <w:pStyle w:val="Default"/>
        <w:ind w:left="720"/>
        <w:rPr>
          <w:sz w:val="22"/>
          <w:szCs w:val="22"/>
        </w:rPr>
      </w:pPr>
    </w:p>
    <w:p w14:paraId="57F068E6" w14:textId="1C92440B" w:rsidR="00BD44C1" w:rsidRDefault="009B37C2" w:rsidP="00220E61">
      <w:pPr>
        <w:pStyle w:val="Default"/>
        <w:numPr>
          <w:ilvl w:val="0"/>
          <w:numId w:val="14"/>
        </w:numPr>
        <w:ind w:left="567" w:hanging="567"/>
        <w:rPr>
          <w:sz w:val="22"/>
          <w:szCs w:val="22"/>
        </w:rPr>
      </w:pPr>
      <w:r>
        <w:rPr>
          <w:sz w:val="22"/>
          <w:szCs w:val="22"/>
        </w:rPr>
        <w:t>The Council</w:t>
      </w:r>
      <w:r w:rsidR="00785897">
        <w:rPr>
          <w:sz w:val="22"/>
          <w:szCs w:val="22"/>
        </w:rPr>
        <w:t xml:space="preserve"> </w:t>
      </w:r>
      <w:r w:rsidR="009E4DC0">
        <w:rPr>
          <w:sz w:val="22"/>
          <w:szCs w:val="22"/>
        </w:rPr>
        <w:t>provided</w:t>
      </w:r>
      <w:r w:rsidR="00785897">
        <w:rPr>
          <w:sz w:val="22"/>
          <w:szCs w:val="22"/>
        </w:rPr>
        <w:t xml:space="preserve"> </w:t>
      </w:r>
      <w:r w:rsidR="003E11AA">
        <w:rPr>
          <w:sz w:val="22"/>
          <w:szCs w:val="22"/>
        </w:rPr>
        <w:t>six</w:t>
      </w:r>
      <w:r w:rsidR="00785897">
        <w:rPr>
          <w:sz w:val="22"/>
          <w:szCs w:val="22"/>
        </w:rPr>
        <w:t xml:space="preserve"> reasons for refusal (RfRs). </w:t>
      </w:r>
      <w:proofErr w:type="gramStart"/>
      <w:r w:rsidR="00406A01">
        <w:rPr>
          <w:sz w:val="22"/>
          <w:szCs w:val="22"/>
        </w:rPr>
        <w:t>Taking into account</w:t>
      </w:r>
      <w:proofErr w:type="gramEnd"/>
      <w:r w:rsidR="00406A01">
        <w:rPr>
          <w:sz w:val="22"/>
          <w:szCs w:val="22"/>
        </w:rPr>
        <w:t xml:space="preserve"> these reasons as well as the initial arguments put forward in the </w:t>
      </w:r>
      <w:r w:rsidR="00D61AA0">
        <w:rPr>
          <w:sz w:val="22"/>
          <w:szCs w:val="22"/>
        </w:rPr>
        <w:t xml:space="preserve">statement of case and </w:t>
      </w:r>
      <w:r w:rsidR="000F134B">
        <w:rPr>
          <w:sz w:val="22"/>
          <w:szCs w:val="22"/>
        </w:rPr>
        <w:t>draft statement of common ground</w:t>
      </w:r>
      <w:r w:rsidR="00CF1CFE">
        <w:rPr>
          <w:sz w:val="22"/>
          <w:szCs w:val="22"/>
        </w:rPr>
        <w:t xml:space="preserve">, together with </w:t>
      </w:r>
      <w:r w:rsidR="00D213E8">
        <w:rPr>
          <w:sz w:val="22"/>
          <w:szCs w:val="22"/>
        </w:rPr>
        <w:t>the Mayor of London’s submissions</w:t>
      </w:r>
      <w:r w:rsidR="0057762F">
        <w:rPr>
          <w:sz w:val="22"/>
          <w:szCs w:val="22"/>
        </w:rPr>
        <w:t xml:space="preserve"> and those of other interested parties</w:t>
      </w:r>
      <w:r w:rsidR="00D61AA0">
        <w:rPr>
          <w:sz w:val="22"/>
          <w:szCs w:val="22"/>
        </w:rPr>
        <w:t xml:space="preserve">, </w:t>
      </w:r>
      <w:r w:rsidR="005C6226">
        <w:rPr>
          <w:sz w:val="22"/>
          <w:szCs w:val="22"/>
        </w:rPr>
        <w:t>the</w:t>
      </w:r>
      <w:r w:rsidR="0040248E" w:rsidRPr="00220E61">
        <w:rPr>
          <w:sz w:val="22"/>
          <w:szCs w:val="22"/>
        </w:rPr>
        <w:t xml:space="preserve"> main issues in this </w:t>
      </w:r>
      <w:r w:rsidR="00D61AA0">
        <w:rPr>
          <w:sz w:val="22"/>
          <w:szCs w:val="22"/>
        </w:rPr>
        <w:t>appeal</w:t>
      </w:r>
      <w:r w:rsidR="0040248E" w:rsidRPr="00220E61">
        <w:rPr>
          <w:sz w:val="22"/>
          <w:szCs w:val="22"/>
        </w:rPr>
        <w:t xml:space="preserve"> are likely to relate to:</w:t>
      </w:r>
    </w:p>
    <w:p w14:paraId="3635AE1A" w14:textId="77777777" w:rsidR="00B3416A" w:rsidRDefault="00B3416A" w:rsidP="00B3416A">
      <w:pPr>
        <w:pStyle w:val="Default"/>
        <w:ind w:left="567"/>
        <w:rPr>
          <w:sz w:val="22"/>
          <w:szCs w:val="22"/>
        </w:rPr>
      </w:pPr>
    </w:p>
    <w:p w14:paraId="00F5387A" w14:textId="32B235B9" w:rsidR="003136BA" w:rsidRDefault="00140A26" w:rsidP="00140A26">
      <w:pPr>
        <w:pStyle w:val="Default"/>
        <w:numPr>
          <w:ilvl w:val="0"/>
          <w:numId w:val="16"/>
        </w:numPr>
        <w:ind w:left="993" w:hanging="426"/>
        <w:rPr>
          <w:sz w:val="22"/>
          <w:szCs w:val="22"/>
        </w:rPr>
      </w:pPr>
      <w:r>
        <w:rPr>
          <w:sz w:val="22"/>
          <w:szCs w:val="22"/>
        </w:rPr>
        <w:t>The effect of the proposed development on the character and appearance of the area</w:t>
      </w:r>
      <w:r w:rsidR="00C07813">
        <w:rPr>
          <w:sz w:val="22"/>
          <w:szCs w:val="22"/>
        </w:rPr>
        <w:t xml:space="preserve"> (RFR 3</w:t>
      </w:r>
      <w:proofErr w:type="gramStart"/>
      <w:r w:rsidR="00C07813">
        <w:rPr>
          <w:sz w:val="22"/>
          <w:szCs w:val="22"/>
        </w:rPr>
        <w:t>)</w:t>
      </w:r>
      <w:r w:rsidR="003136BA">
        <w:rPr>
          <w:sz w:val="22"/>
          <w:szCs w:val="22"/>
        </w:rPr>
        <w:t>;</w:t>
      </w:r>
      <w:proofErr w:type="gramEnd"/>
    </w:p>
    <w:p w14:paraId="22EE3B02" w14:textId="77777777" w:rsidR="003136BA" w:rsidRDefault="003136BA" w:rsidP="003136BA">
      <w:pPr>
        <w:pStyle w:val="Default"/>
        <w:ind w:left="567"/>
        <w:rPr>
          <w:sz w:val="22"/>
          <w:szCs w:val="22"/>
        </w:rPr>
      </w:pPr>
    </w:p>
    <w:p w14:paraId="25A35D20" w14:textId="04519121" w:rsidR="003136BA" w:rsidRDefault="003136BA" w:rsidP="00140A26">
      <w:pPr>
        <w:pStyle w:val="Default"/>
        <w:numPr>
          <w:ilvl w:val="0"/>
          <w:numId w:val="16"/>
        </w:numPr>
        <w:ind w:left="993" w:hanging="426"/>
        <w:rPr>
          <w:sz w:val="22"/>
          <w:szCs w:val="22"/>
        </w:rPr>
      </w:pPr>
      <w:r>
        <w:rPr>
          <w:sz w:val="22"/>
          <w:szCs w:val="22"/>
        </w:rPr>
        <w:t>The effect of the proposed development on heritage assets</w:t>
      </w:r>
      <w:r w:rsidR="00C07813">
        <w:rPr>
          <w:sz w:val="22"/>
          <w:szCs w:val="22"/>
        </w:rPr>
        <w:t xml:space="preserve"> (RFR 3</w:t>
      </w:r>
      <w:proofErr w:type="gramStart"/>
      <w:r w:rsidR="00C07813">
        <w:rPr>
          <w:sz w:val="22"/>
          <w:szCs w:val="22"/>
        </w:rPr>
        <w:t>)</w:t>
      </w:r>
      <w:r>
        <w:rPr>
          <w:sz w:val="22"/>
          <w:szCs w:val="22"/>
        </w:rPr>
        <w:t>;</w:t>
      </w:r>
      <w:proofErr w:type="gramEnd"/>
    </w:p>
    <w:p w14:paraId="19B0AB64" w14:textId="77777777" w:rsidR="003136BA" w:rsidRDefault="003136BA" w:rsidP="003136BA">
      <w:pPr>
        <w:pStyle w:val="Default"/>
        <w:ind w:left="993"/>
        <w:rPr>
          <w:sz w:val="22"/>
          <w:szCs w:val="22"/>
        </w:rPr>
      </w:pPr>
    </w:p>
    <w:p w14:paraId="205D5925" w14:textId="62AD1E90" w:rsidR="003136BA" w:rsidRDefault="003136BA" w:rsidP="00140A26">
      <w:pPr>
        <w:pStyle w:val="Default"/>
        <w:numPr>
          <w:ilvl w:val="0"/>
          <w:numId w:val="16"/>
        </w:numPr>
        <w:ind w:left="993" w:hanging="426"/>
        <w:rPr>
          <w:sz w:val="22"/>
          <w:szCs w:val="22"/>
        </w:rPr>
      </w:pPr>
      <w:r>
        <w:rPr>
          <w:sz w:val="22"/>
          <w:szCs w:val="22"/>
        </w:rPr>
        <w:t xml:space="preserve">Whether the proposed development would provide appropriate living conditions for future occupiers, with particular reference to </w:t>
      </w:r>
      <w:r w:rsidR="00D81946">
        <w:rPr>
          <w:sz w:val="22"/>
          <w:szCs w:val="22"/>
        </w:rPr>
        <w:t>outlook, daylight, privacy, play space provision</w:t>
      </w:r>
      <w:r w:rsidR="00A51DFB">
        <w:rPr>
          <w:sz w:val="22"/>
          <w:szCs w:val="22"/>
        </w:rPr>
        <w:t>, and inclusive design</w:t>
      </w:r>
      <w:r w:rsidR="002512F2">
        <w:rPr>
          <w:sz w:val="22"/>
          <w:szCs w:val="22"/>
        </w:rPr>
        <w:t xml:space="preserve"> (RFR 4</w:t>
      </w:r>
      <w:proofErr w:type="gramStart"/>
      <w:r w:rsidR="002512F2">
        <w:rPr>
          <w:sz w:val="22"/>
          <w:szCs w:val="22"/>
        </w:rPr>
        <w:t>)</w:t>
      </w:r>
      <w:r w:rsidR="00D81946">
        <w:rPr>
          <w:sz w:val="22"/>
          <w:szCs w:val="22"/>
        </w:rPr>
        <w:t>;</w:t>
      </w:r>
      <w:proofErr w:type="gramEnd"/>
    </w:p>
    <w:p w14:paraId="2FB9C4C8" w14:textId="77777777" w:rsidR="003136BA" w:rsidRDefault="003136BA" w:rsidP="003136BA">
      <w:pPr>
        <w:pStyle w:val="Default"/>
        <w:ind w:left="720"/>
        <w:rPr>
          <w:sz w:val="22"/>
          <w:szCs w:val="22"/>
        </w:rPr>
      </w:pPr>
    </w:p>
    <w:p w14:paraId="1F25A141" w14:textId="3C7A8E97" w:rsidR="00140A26" w:rsidRDefault="003136BA" w:rsidP="00140A26">
      <w:pPr>
        <w:pStyle w:val="Default"/>
        <w:numPr>
          <w:ilvl w:val="0"/>
          <w:numId w:val="16"/>
        </w:numPr>
        <w:ind w:left="993" w:hanging="426"/>
        <w:rPr>
          <w:sz w:val="22"/>
          <w:szCs w:val="22"/>
        </w:rPr>
      </w:pPr>
      <w:r>
        <w:rPr>
          <w:sz w:val="22"/>
          <w:szCs w:val="22"/>
        </w:rPr>
        <w:lastRenderedPageBreak/>
        <w:t xml:space="preserve">The effect of the proposed development on the living conditions of surrounding occupiers, with </w:t>
      </w:r>
      <w:proofErr w:type="gramStart"/>
      <w:r w:rsidR="00D81946">
        <w:rPr>
          <w:sz w:val="22"/>
          <w:szCs w:val="22"/>
        </w:rPr>
        <w:t>particular reference</w:t>
      </w:r>
      <w:proofErr w:type="gramEnd"/>
      <w:r w:rsidR="00D81946">
        <w:rPr>
          <w:sz w:val="22"/>
          <w:szCs w:val="22"/>
        </w:rPr>
        <w:t xml:space="preserve"> to </w:t>
      </w:r>
      <w:r w:rsidR="00675251">
        <w:rPr>
          <w:sz w:val="22"/>
          <w:szCs w:val="22"/>
        </w:rPr>
        <w:t xml:space="preserve">outlook, daylight and sunlight, </w:t>
      </w:r>
      <w:r w:rsidR="001F36D1">
        <w:rPr>
          <w:sz w:val="22"/>
          <w:szCs w:val="22"/>
        </w:rPr>
        <w:t>and privacy</w:t>
      </w:r>
      <w:r w:rsidR="00C07813">
        <w:rPr>
          <w:sz w:val="22"/>
          <w:szCs w:val="22"/>
        </w:rPr>
        <w:t xml:space="preserve"> (RFR</w:t>
      </w:r>
      <w:r w:rsidR="002512F2">
        <w:rPr>
          <w:sz w:val="22"/>
          <w:szCs w:val="22"/>
        </w:rPr>
        <w:t xml:space="preserve"> 5)</w:t>
      </w:r>
      <w:r w:rsidR="001F36D1">
        <w:rPr>
          <w:sz w:val="22"/>
          <w:szCs w:val="22"/>
        </w:rPr>
        <w:t>;</w:t>
      </w:r>
      <w:r w:rsidR="00C07813">
        <w:rPr>
          <w:sz w:val="22"/>
          <w:szCs w:val="22"/>
        </w:rPr>
        <w:t xml:space="preserve"> and</w:t>
      </w:r>
    </w:p>
    <w:p w14:paraId="42C57BF1" w14:textId="77777777" w:rsidR="001F36D1" w:rsidRDefault="001F36D1" w:rsidP="001F36D1">
      <w:pPr>
        <w:pStyle w:val="Default"/>
        <w:ind w:left="720"/>
        <w:rPr>
          <w:sz w:val="22"/>
          <w:szCs w:val="22"/>
        </w:rPr>
      </w:pPr>
    </w:p>
    <w:p w14:paraId="08500043" w14:textId="0D76A7E6" w:rsidR="002512F2" w:rsidRDefault="001F36D1" w:rsidP="00E305B3">
      <w:pPr>
        <w:pStyle w:val="Default"/>
        <w:numPr>
          <w:ilvl w:val="0"/>
          <w:numId w:val="16"/>
        </w:numPr>
        <w:ind w:left="993" w:hanging="426"/>
        <w:rPr>
          <w:sz w:val="22"/>
          <w:szCs w:val="22"/>
        </w:rPr>
      </w:pPr>
      <w:r>
        <w:rPr>
          <w:sz w:val="22"/>
          <w:szCs w:val="22"/>
        </w:rPr>
        <w:t xml:space="preserve">The effect of the proposed development on the </w:t>
      </w:r>
      <w:r w:rsidR="00B306CC">
        <w:rPr>
          <w:sz w:val="22"/>
          <w:szCs w:val="22"/>
        </w:rPr>
        <w:t xml:space="preserve">local housing supply, with </w:t>
      </w:r>
      <w:proofErr w:type="gramStart"/>
      <w:r w:rsidR="00B306CC">
        <w:rPr>
          <w:sz w:val="22"/>
          <w:szCs w:val="22"/>
        </w:rPr>
        <w:t>particular reference</w:t>
      </w:r>
      <w:proofErr w:type="gramEnd"/>
      <w:r w:rsidR="00B306CC">
        <w:rPr>
          <w:sz w:val="22"/>
          <w:szCs w:val="22"/>
        </w:rPr>
        <w:t xml:space="preserve"> </w:t>
      </w:r>
      <w:r w:rsidR="00EB6CB0">
        <w:rPr>
          <w:sz w:val="22"/>
          <w:szCs w:val="22"/>
        </w:rPr>
        <w:t>the provision of</w:t>
      </w:r>
      <w:r w:rsidR="00B306CC">
        <w:rPr>
          <w:sz w:val="22"/>
          <w:szCs w:val="22"/>
        </w:rPr>
        <w:t xml:space="preserve"> </w:t>
      </w:r>
      <w:r w:rsidR="00C72562">
        <w:rPr>
          <w:sz w:val="22"/>
          <w:szCs w:val="22"/>
        </w:rPr>
        <w:t>family accommodation</w:t>
      </w:r>
      <w:r w:rsidR="00EB6CB0">
        <w:rPr>
          <w:sz w:val="22"/>
          <w:szCs w:val="22"/>
        </w:rPr>
        <w:br/>
      </w:r>
      <w:r w:rsidR="00C72562">
        <w:rPr>
          <w:sz w:val="22"/>
          <w:szCs w:val="22"/>
        </w:rPr>
        <w:t>(RFR 2)</w:t>
      </w:r>
      <w:r w:rsidR="00C07813">
        <w:rPr>
          <w:sz w:val="22"/>
          <w:szCs w:val="22"/>
        </w:rPr>
        <w:t>.</w:t>
      </w:r>
    </w:p>
    <w:p w14:paraId="052A645F" w14:textId="35CC0704" w:rsidR="00110CC5" w:rsidRDefault="00110CC5" w:rsidP="005B3AFC">
      <w:pPr>
        <w:pStyle w:val="Default"/>
        <w:rPr>
          <w:color w:val="auto"/>
          <w:sz w:val="22"/>
          <w:szCs w:val="22"/>
        </w:rPr>
      </w:pPr>
    </w:p>
    <w:p w14:paraId="431DA770" w14:textId="43F945D1" w:rsidR="00251F53" w:rsidRPr="00251F53" w:rsidRDefault="00E305B3" w:rsidP="00251F53">
      <w:pPr>
        <w:pStyle w:val="Default"/>
        <w:numPr>
          <w:ilvl w:val="0"/>
          <w:numId w:val="14"/>
        </w:numPr>
        <w:ind w:left="567" w:hanging="567"/>
        <w:rPr>
          <w:sz w:val="22"/>
          <w:szCs w:val="22"/>
        </w:rPr>
      </w:pPr>
      <w:r>
        <w:rPr>
          <w:color w:val="auto"/>
          <w:sz w:val="22"/>
          <w:szCs w:val="22"/>
        </w:rPr>
        <w:t xml:space="preserve">The </w:t>
      </w:r>
      <w:r w:rsidR="009A3EF8">
        <w:rPr>
          <w:color w:val="auto"/>
          <w:sz w:val="22"/>
          <w:szCs w:val="22"/>
        </w:rPr>
        <w:t>Council has advi</w:t>
      </w:r>
      <w:r w:rsidR="003426C8">
        <w:rPr>
          <w:color w:val="auto"/>
          <w:sz w:val="22"/>
          <w:szCs w:val="22"/>
        </w:rPr>
        <w:t xml:space="preserve">sed that it no longer wishes to contest its reason for refusal relating to affordable housing provision (RFR1), although it will argue that it </w:t>
      </w:r>
      <w:proofErr w:type="gramStart"/>
      <w:r w:rsidR="003426C8">
        <w:rPr>
          <w:color w:val="auto"/>
          <w:sz w:val="22"/>
          <w:szCs w:val="22"/>
        </w:rPr>
        <w:t>has an effect on</w:t>
      </w:r>
      <w:proofErr w:type="gramEnd"/>
      <w:r w:rsidR="003426C8">
        <w:rPr>
          <w:color w:val="auto"/>
          <w:sz w:val="22"/>
          <w:szCs w:val="22"/>
        </w:rPr>
        <w:t xml:space="preserve"> the overall planning balance</w:t>
      </w:r>
      <w:r w:rsidR="0082419A">
        <w:rPr>
          <w:color w:val="auto"/>
          <w:sz w:val="22"/>
          <w:szCs w:val="22"/>
        </w:rPr>
        <w:t>.</w:t>
      </w:r>
      <w:r w:rsidR="00BB4035">
        <w:rPr>
          <w:color w:val="auto"/>
          <w:sz w:val="22"/>
          <w:szCs w:val="22"/>
        </w:rPr>
        <w:t xml:space="preserve"> </w:t>
      </w:r>
    </w:p>
    <w:p w14:paraId="6070A334" w14:textId="77777777" w:rsidR="00BB4035" w:rsidRPr="00BB4035" w:rsidRDefault="00BB4035" w:rsidP="00BB4035">
      <w:pPr>
        <w:pStyle w:val="Default"/>
        <w:ind w:left="567"/>
        <w:rPr>
          <w:sz w:val="22"/>
          <w:szCs w:val="22"/>
        </w:rPr>
      </w:pPr>
    </w:p>
    <w:p w14:paraId="66B12C08" w14:textId="4CF82B15" w:rsidR="00CF1CFE" w:rsidRPr="003426C8" w:rsidRDefault="005F45D0" w:rsidP="00B754D0">
      <w:pPr>
        <w:pStyle w:val="Default"/>
        <w:numPr>
          <w:ilvl w:val="0"/>
          <w:numId w:val="14"/>
        </w:numPr>
        <w:ind w:left="567" w:hanging="567"/>
        <w:rPr>
          <w:sz w:val="22"/>
          <w:szCs w:val="22"/>
        </w:rPr>
      </w:pPr>
      <w:r>
        <w:rPr>
          <w:color w:val="auto"/>
          <w:sz w:val="22"/>
          <w:szCs w:val="22"/>
        </w:rPr>
        <w:t xml:space="preserve">A planning agreement is currently being negotiated and it is expected that this will be finalised by the start of the Inquiry (RFR6). </w:t>
      </w:r>
      <w:r w:rsidR="005F2419">
        <w:rPr>
          <w:color w:val="auto"/>
          <w:sz w:val="22"/>
          <w:szCs w:val="22"/>
        </w:rPr>
        <w:t>Its content will also be considered within the planning balance evidence.</w:t>
      </w:r>
    </w:p>
    <w:p w14:paraId="1BDDE5AA" w14:textId="77777777" w:rsidR="003426C8" w:rsidRPr="00CF1CFE" w:rsidRDefault="003426C8" w:rsidP="003426C8">
      <w:pPr>
        <w:pStyle w:val="Default"/>
        <w:ind w:left="567"/>
        <w:rPr>
          <w:sz w:val="22"/>
          <w:szCs w:val="22"/>
        </w:rPr>
      </w:pPr>
    </w:p>
    <w:p w14:paraId="500E5818" w14:textId="72018718" w:rsidR="008D2C4F" w:rsidRDefault="005F2419" w:rsidP="00B754D0">
      <w:pPr>
        <w:pStyle w:val="Default"/>
        <w:numPr>
          <w:ilvl w:val="0"/>
          <w:numId w:val="14"/>
        </w:numPr>
        <w:ind w:left="567" w:hanging="567"/>
        <w:rPr>
          <w:sz w:val="22"/>
          <w:szCs w:val="22"/>
        </w:rPr>
      </w:pPr>
      <w:r>
        <w:rPr>
          <w:color w:val="auto"/>
          <w:sz w:val="22"/>
          <w:szCs w:val="22"/>
        </w:rPr>
        <w:t>Accordingly, t</w:t>
      </w:r>
      <w:r w:rsidR="0040248E" w:rsidRPr="00735D4C">
        <w:rPr>
          <w:color w:val="auto"/>
          <w:sz w:val="22"/>
          <w:szCs w:val="22"/>
        </w:rPr>
        <w:t xml:space="preserve">he Inquiry will look at any benefits to be weighed in the planning balance, including </w:t>
      </w:r>
      <w:r w:rsidR="00CC1A3E">
        <w:rPr>
          <w:color w:val="auto"/>
          <w:sz w:val="22"/>
          <w:szCs w:val="22"/>
        </w:rPr>
        <w:t xml:space="preserve">the amount of affordable housing proposed, together with </w:t>
      </w:r>
      <w:r w:rsidR="0040248E" w:rsidRPr="00735D4C">
        <w:rPr>
          <w:color w:val="auto"/>
          <w:sz w:val="22"/>
          <w:szCs w:val="22"/>
        </w:rPr>
        <w:t>any implications of not proceeding with the scheme</w:t>
      </w:r>
      <w:r w:rsidR="00CC1A3E">
        <w:rPr>
          <w:color w:val="auto"/>
          <w:sz w:val="22"/>
          <w:szCs w:val="22"/>
        </w:rPr>
        <w:t>.</w:t>
      </w:r>
      <w:r w:rsidR="00737B13">
        <w:rPr>
          <w:color w:val="auto"/>
          <w:sz w:val="22"/>
          <w:szCs w:val="22"/>
        </w:rPr>
        <w:t xml:space="preserve"> </w:t>
      </w:r>
      <w:r w:rsidR="00CC1A3E">
        <w:rPr>
          <w:color w:val="auto"/>
          <w:sz w:val="22"/>
          <w:szCs w:val="22"/>
        </w:rPr>
        <w:t>Interested</w:t>
      </w:r>
      <w:r w:rsidR="00225915" w:rsidRPr="00B754D0">
        <w:rPr>
          <w:sz w:val="22"/>
          <w:szCs w:val="22"/>
        </w:rPr>
        <w:t xml:space="preserve"> parties have made representations </w:t>
      </w:r>
      <w:r w:rsidR="00D330D7">
        <w:rPr>
          <w:sz w:val="22"/>
          <w:szCs w:val="22"/>
        </w:rPr>
        <w:t xml:space="preserve">and </w:t>
      </w:r>
      <w:r w:rsidR="00225915" w:rsidRPr="00B754D0">
        <w:rPr>
          <w:sz w:val="22"/>
          <w:szCs w:val="22"/>
        </w:rPr>
        <w:t xml:space="preserve">I will need to take </w:t>
      </w:r>
      <w:r w:rsidR="002F7B97">
        <w:rPr>
          <w:sz w:val="22"/>
          <w:szCs w:val="22"/>
        </w:rPr>
        <w:t>any</w:t>
      </w:r>
      <w:r w:rsidR="008D2C4F" w:rsidRPr="00B754D0">
        <w:rPr>
          <w:sz w:val="22"/>
          <w:szCs w:val="22"/>
        </w:rPr>
        <w:t xml:space="preserve"> </w:t>
      </w:r>
      <w:r w:rsidR="001A6B58">
        <w:rPr>
          <w:sz w:val="22"/>
          <w:szCs w:val="22"/>
        </w:rPr>
        <w:t>ma</w:t>
      </w:r>
      <w:r w:rsidR="002F7B97">
        <w:rPr>
          <w:sz w:val="22"/>
          <w:szCs w:val="22"/>
        </w:rPr>
        <w:t>tters</w:t>
      </w:r>
      <w:r w:rsidR="008D2C4F" w:rsidRPr="00B754D0">
        <w:rPr>
          <w:sz w:val="22"/>
          <w:szCs w:val="22"/>
        </w:rPr>
        <w:t xml:space="preserve"> raised</w:t>
      </w:r>
      <w:r w:rsidR="00225915" w:rsidRPr="00B754D0">
        <w:rPr>
          <w:sz w:val="22"/>
          <w:szCs w:val="22"/>
        </w:rPr>
        <w:t xml:space="preserve"> into account</w:t>
      </w:r>
      <w:r w:rsidR="008D2C4F" w:rsidRPr="00B754D0">
        <w:rPr>
          <w:sz w:val="22"/>
          <w:szCs w:val="22"/>
        </w:rPr>
        <w:t>, together</w:t>
      </w:r>
      <w:r w:rsidR="00225915" w:rsidRPr="00B754D0">
        <w:rPr>
          <w:sz w:val="22"/>
          <w:szCs w:val="22"/>
        </w:rPr>
        <w:t xml:space="preserve"> with </w:t>
      </w:r>
      <w:r w:rsidR="008D2C4F" w:rsidRPr="00B754D0">
        <w:rPr>
          <w:sz w:val="22"/>
          <w:szCs w:val="22"/>
        </w:rPr>
        <w:t xml:space="preserve">any further representations </w:t>
      </w:r>
      <w:r w:rsidR="00086161" w:rsidRPr="00B754D0">
        <w:rPr>
          <w:sz w:val="22"/>
          <w:szCs w:val="22"/>
        </w:rPr>
        <w:t xml:space="preserve">made </w:t>
      </w:r>
      <w:r w:rsidR="008D2C4F" w:rsidRPr="00B754D0">
        <w:rPr>
          <w:sz w:val="22"/>
          <w:szCs w:val="22"/>
        </w:rPr>
        <w:t xml:space="preserve">at the </w:t>
      </w:r>
      <w:r w:rsidR="00086161" w:rsidRPr="00B754D0">
        <w:rPr>
          <w:sz w:val="22"/>
          <w:szCs w:val="22"/>
        </w:rPr>
        <w:t>inquiry</w:t>
      </w:r>
      <w:r w:rsidR="008D2C4F" w:rsidRPr="00B754D0">
        <w:rPr>
          <w:sz w:val="22"/>
          <w:szCs w:val="22"/>
        </w:rPr>
        <w:t xml:space="preserve">. </w:t>
      </w:r>
      <w:r w:rsidR="00B201F7">
        <w:rPr>
          <w:sz w:val="22"/>
          <w:szCs w:val="22"/>
        </w:rPr>
        <w:t xml:space="preserve">These will include the effects of the proposal on local infrastructure, </w:t>
      </w:r>
      <w:r w:rsidR="003369C8">
        <w:rPr>
          <w:sz w:val="22"/>
          <w:szCs w:val="22"/>
        </w:rPr>
        <w:t>fire safety</w:t>
      </w:r>
      <w:r w:rsidR="00BD042E">
        <w:rPr>
          <w:sz w:val="22"/>
          <w:szCs w:val="22"/>
        </w:rPr>
        <w:t xml:space="preserve"> and</w:t>
      </w:r>
      <w:r w:rsidR="003369C8">
        <w:rPr>
          <w:sz w:val="22"/>
          <w:szCs w:val="22"/>
        </w:rPr>
        <w:t xml:space="preserve"> </w:t>
      </w:r>
      <w:r w:rsidR="00B201F7">
        <w:rPr>
          <w:sz w:val="22"/>
          <w:szCs w:val="22"/>
        </w:rPr>
        <w:t xml:space="preserve">air </w:t>
      </w:r>
      <w:r w:rsidR="00BD042E">
        <w:rPr>
          <w:sz w:val="22"/>
          <w:szCs w:val="22"/>
        </w:rPr>
        <w:t>quality.</w:t>
      </w:r>
    </w:p>
    <w:p w14:paraId="4108CBC6" w14:textId="77777777" w:rsidR="00EA55BB" w:rsidRPr="00CF1CFE" w:rsidRDefault="00EA55BB" w:rsidP="00EA55BB">
      <w:pPr>
        <w:pStyle w:val="Default"/>
        <w:ind w:left="720"/>
        <w:rPr>
          <w:sz w:val="22"/>
          <w:szCs w:val="22"/>
        </w:rPr>
      </w:pPr>
    </w:p>
    <w:p w14:paraId="59139FAC" w14:textId="6521C266" w:rsidR="00EA55BB" w:rsidRDefault="00EA55BB" w:rsidP="00B754D0">
      <w:pPr>
        <w:pStyle w:val="Default"/>
        <w:numPr>
          <w:ilvl w:val="0"/>
          <w:numId w:val="14"/>
        </w:numPr>
        <w:ind w:left="567" w:hanging="567"/>
        <w:rPr>
          <w:sz w:val="22"/>
          <w:szCs w:val="22"/>
        </w:rPr>
      </w:pPr>
      <w:r>
        <w:rPr>
          <w:sz w:val="22"/>
          <w:szCs w:val="22"/>
        </w:rPr>
        <w:t xml:space="preserve">I will also seek agreement between the parties as to the approach </w:t>
      </w:r>
      <w:r w:rsidR="00B24449">
        <w:rPr>
          <w:sz w:val="22"/>
          <w:szCs w:val="22"/>
        </w:rPr>
        <w:t xml:space="preserve">to the housing land supply position. At this stage it appears to me to be best suited to inclusion within the planning balance evidence, rather than a separate topic for evidence, but </w:t>
      </w:r>
      <w:r w:rsidR="00315C66">
        <w:rPr>
          <w:sz w:val="22"/>
          <w:szCs w:val="22"/>
        </w:rPr>
        <w:t>we</w:t>
      </w:r>
      <w:r w:rsidR="00B24449">
        <w:rPr>
          <w:sz w:val="22"/>
          <w:szCs w:val="22"/>
        </w:rPr>
        <w:t xml:space="preserve"> will discuss this further during the </w:t>
      </w:r>
      <w:r w:rsidR="00315C66">
        <w:rPr>
          <w:sz w:val="22"/>
          <w:szCs w:val="22"/>
        </w:rPr>
        <w:t>conference.</w:t>
      </w:r>
    </w:p>
    <w:p w14:paraId="1F5B4880" w14:textId="51567965" w:rsidR="008D2C4F" w:rsidRDefault="008D2C4F" w:rsidP="008D2C4F">
      <w:pPr>
        <w:pStyle w:val="Default"/>
        <w:ind w:left="567"/>
        <w:rPr>
          <w:color w:val="auto"/>
          <w:sz w:val="22"/>
          <w:szCs w:val="22"/>
        </w:rPr>
      </w:pPr>
    </w:p>
    <w:p w14:paraId="4AFC8B04" w14:textId="53A6C16B" w:rsidR="008D2C4F" w:rsidRDefault="0040248E" w:rsidP="008D2C4F">
      <w:pPr>
        <w:pStyle w:val="Default"/>
        <w:numPr>
          <w:ilvl w:val="0"/>
          <w:numId w:val="14"/>
        </w:numPr>
        <w:ind w:left="567" w:hanging="567"/>
        <w:rPr>
          <w:sz w:val="22"/>
          <w:szCs w:val="22"/>
        </w:rPr>
      </w:pPr>
      <w:r w:rsidRPr="008D2C4F">
        <w:rPr>
          <w:color w:val="auto"/>
          <w:sz w:val="22"/>
          <w:szCs w:val="22"/>
        </w:rPr>
        <w:t xml:space="preserve">It is essential that all parties communicate effectively with </w:t>
      </w:r>
      <w:r w:rsidR="00B03ACE">
        <w:rPr>
          <w:color w:val="auto"/>
          <w:sz w:val="22"/>
          <w:szCs w:val="22"/>
        </w:rPr>
        <w:t>each</w:t>
      </w:r>
      <w:r w:rsidRPr="008D2C4F">
        <w:rPr>
          <w:color w:val="auto"/>
          <w:sz w:val="22"/>
          <w:szCs w:val="22"/>
        </w:rPr>
        <w:t xml:space="preserve"> other to seek to narrow the issues for consideration at the Inquiry. This should be an ongoing conversation. You are therefore requested to give consideration in advance of the case management conference as to whether the identified matters encapsulate those most pertinent to the outcome of the appeal.</w:t>
      </w:r>
    </w:p>
    <w:p w14:paraId="0CAF6911" w14:textId="556DE5C7" w:rsidR="008D2C4F" w:rsidRPr="008D2C4F" w:rsidRDefault="008D2C4F" w:rsidP="008D2C4F">
      <w:pPr>
        <w:pStyle w:val="Default"/>
        <w:ind w:left="567"/>
        <w:rPr>
          <w:b/>
          <w:bCs/>
          <w:color w:val="auto"/>
          <w:sz w:val="22"/>
          <w:szCs w:val="22"/>
        </w:rPr>
      </w:pPr>
    </w:p>
    <w:p w14:paraId="76BDB378" w14:textId="77777777" w:rsidR="008D2C4F" w:rsidRDefault="0040248E" w:rsidP="008D2C4F">
      <w:pPr>
        <w:pStyle w:val="Default"/>
        <w:rPr>
          <w:sz w:val="22"/>
          <w:szCs w:val="22"/>
        </w:rPr>
      </w:pPr>
      <w:r w:rsidRPr="008D2C4F">
        <w:rPr>
          <w:b/>
          <w:bCs/>
          <w:color w:val="auto"/>
          <w:sz w:val="22"/>
          <w:szCs w:val="22"/>
        </w:rPr>
        <w:t xml:space="preserve">Dealing with the Evidence </w:t>
      </w:r>
    </w:p>
    <w:p w14:paraId="574A8562" w14:textId="669AFE13" w:rsidR="008D2C4F" w:rsidRDefault="008D2C4F" w:rsidP="008D2C4F">
      <w:pPr>
        <w:pStyle w:val="Default"/>
        <w:ind w:left="567"/>
        <w:rPr>
          <w:color w:val="auto"/>
          <w:sz w:val="22"/>
          <w:szCs w:val="22"/>
        </w:rPr>
      </w:pPr>
    </w:p>
    <w:p w14:paraId="10B14D8D" w14:textId="2378FE8B" w:rsidR="008D2C4F" w:rsidRPr="001D1AAA" w:rsidRDefault="0040248E" w:rsidP="008D2C4F">
      <w:pPr>
        <w:pStyle w:val="Default"/>
        <w:numPr>
          <w:ilvl w:val="0"/>
          <w:numId w:val="14"/>
        </w:numPr>
        <w:ind w:left="567" w:hanging="567"/>
        <w:rPr>
          <w:sz w:val="22"/>
          <w:szCs w:val="22"/>
        </w:rPr>
      </w:pPr>
      <w:r w:rsidRPr="008D2C4F">
        <w:rPr>
          <w:color w:val="auto"/>
          <w:sz w:val="22"/>
          <w:szCs w:val="22"/>
        </w:rPr>
        <w:t xml:space="preserve">The Inquiry will focus on areas where there is disagreement. With that in mind, the conference will explore how best to hear the evidence to ensure that the Inquiry is conducted as efficiently as possible. </w:t>
      </w:r>
    </w:p>
    <w:p w14:paraId="10FF8827" w14:textId="77777777" w:rsidR="001D1AAA" w:rsidRPr="001D1AAA" w:rsidRDefault="001D1AAA" w:rsidP="001D1AAA">
      <w:pPr>
        <w:pStyle w:val="Default"/>
        <w:ind w:left="567"/>
        <w:rPr>
          <w:sz w:val="22"/>
          <w:szCs w:val="22"/>
        </w:rPr>
      </w:pPr>
    </w:p>
    <w:p w14:paraId="0F451805" w14:textId="28AAA398" w:rsidR="008D6945" w:rsidRDefault="00274C04" w:rsidP="008D6945">
      <w:pPr>
        <w:pStyle w:val="Default"/>
        <w:numPr>
          <w:ilvl w:val="0"/>
          <w:numId w:val="14"/>
        </w:numPr>
        <w:ind w:left="567" w:hanging="567"/>
        <w:rPr>
          <w:sz w:val="22"/>
          <w:szCs w:val="22"/>
        </w:rPr>
      </w:pPr>
      <w:r>
        <w:rPr>
          <w:sz w:val="22"/>
          <w:szCs w:val="22"/>
        </w:rPr>
        <w:t>The parties should collaborate on separate,</w:t>
      </w:r>
      <w:r w:rsidR="008D6945">
        <w:rPr>
          <w:sz w:val="22"/>
          <w:szCs w:val="22"/>
        </w:rPr>
        <w:t xml:space="preserve"> topic-specific statements of common ground</w:t>
      </w:r>
      <w:r>
        <w:rPr>
          <w:sz w:val="22"/>
          <w:szCs w:val="22"/>
        </w:rPr>
        <w:t xml:space="preserve"> for each of the main issues</w:t>
      </w:r>
      <w:r w:rsidR="008D6945">
        <w:rPr>
          <w:sz w:val="22"/>
          <w:szCs w:val="22"/>
        </w:rPr>
        <w:t>.</w:t>
      </w:r>
    </w:p>
    <w:p w14:paraId="22B07B7A" w14:textId="77777777" w:rsidR="008D6945" w:rsidRDefault="008D6945" w:rsidP="00274C04">
      <w:pPr>
        <w:pStyle w:val="Default"/>
        <w:rPr>
          <w:color w:val="auto"/>
          <w:sz w:val="22"/>
          <w:szCs w:val="22"/>
        </w:rPr>
      </w:pPr>
    </w:p>
    <w:p w14:paraId="776D020A" w14:textId="79D82EFB" w:rsidR="00962264" w:rsidRDefault="00962264" w:rsidP="00962264">
      <w:pPr>
        <w:pStyle w:val="Default"/>
        <w:numPr>
          <w:ilvl w:val="0"/>
          <w:numId w:val="14"/>
        </w:numPr>
        <w:ind w:left="567" w:hanging="567"/>
        <w:rPr>
          <w:color w:val="auto"/>
          <w:sz w:val="22"/>
          <w:szCs w:val="22"/>
        </w:rPr>
      </w:pPr>
      <w:r>
        <w:rPr>
          <w:sz w:val="22"/>
          <w:szCs w:val="22"/>
        </w:rPr>
        <w:t>I suggest that the main issues that rely on technical/numerical evidence are best suited to the</w:t>
      </w:r>
      <w:r w:rsidRPr="00A65CA2">
        <w:rPr>
          <w:color w:val="auto"/>
          <w:sz w:val="22"/>
          <w:szCs w:val="22"/>
        </w:rPr>
        <w:t xml:space="preserve"> formal presentation of examination-in-chief by a witness for each of the main parties</w:t>
      </w:r>
      <w:r>
        <w:rPr>
          <w:color w:val="auto"/>
          <w:sz w:val="22"/>
          <w:szCs w:val="22"/>
        </w:rPr>
        <w:t xml:space="preserve"> wishing to participate,</w:t>
      </w:r>
      <w:r w:rsidRPr="00A65CA2">
        <w:rPr>
          <w:color w:val="auto"/>
          <w:sz w:val="22"/>
          <w:szCs w:val="22"/>
        </w:rPr>
        <w:t xml:space="preserve"> which would be subject to cross-examination.</w:t>
      </w:r>
      <w:r>
        <w:rPr>
          <w:color w:val="auto"/>
          <w:sz w:val="22"/>
          <w:szCs w:val="22"/>
        </w:rPr>
        <w:t xml:space="preserve"> </w:t>
      </w:r>
      <w:proofErr w:type="gramStart"/>
      <w:r>
        <w:rPr>
          <w:color w:val="auto"/>
          <w:sz w:val="22"/>
          <w:szCs w:val="22"/>
        </w:rPr>
        <w:t>All of</w:t>
      </w:r>
      <w:proofErr w:type="gramEnd"/>
      <w:r>
        <w:rPr>
          <w:color w:val="auto"/>
          <w:sz w:val="22"/>
          <w:szCs w:val="22"/>
        </w:rPr>
        <w:t xml:space="preserve"> t</w:t>
      </w:r>
      <w:r w:rsidR="001974F5">
        <w:rPr>
          <w:color w:val="auto"/>
          <w:sz w:val="22"/>
          <w:szCs w:val="22"/>
        </w:rPr>
        <w:t>he main issues other than character and appearance would be suitable for this method.</w:t>
      </w:r>
    </w:p>
    <w:p w14:paraId="3610E969" w14:textId="77777777" w:rsidR="00962264" w:rsidRDefault="00962264" w:rsidP="00962264">
      <w:pPr>
        <w:pStyle w:val="Default"/>
        <w:ind w:left="720"/>
        <w:rPr>
          <w:color w:val="auto"/>
          <w:sz w:val="22"/>
          <w:szCs w:val="22"/>
        </w:rPr>
      </w:pPr>
    </w:p>
    <w:p w14:paraId="03F7237D" w14:textId="68CA8E0C" w:rsidR="00315C66" w:rsidRDefault="008C4092" w:rsidP="00315C66">
      <w:pPr>
        <w:pStyle w:val="Default"/>
        <w:numPr>
          <w:ilvl w:val="0"/>
          <w:numId w:val="14"/>
        </w:numPr>
        <w:ind w:left="567" w:hanging="567"/>
        <w:rPr>
          <w:sz w:val="22"/>
          <w:szCs w:val="22"/>
        </w:rPr>
      </w:pPr>
      <w:r w:rsidRPr="000D2CCE">
        <w:rPr>
          <w:sz w:val="22"/>
          <w:szCs w:val="22"/>
        </w:rPr>
        <w:t xml:space="preserve">At this stage it seems that </w:t>
      </w:r>
      <w:r>
        <w:rPr>
          <w:sz w:val="22"/>
          <w:szCs w:val="22"/>
        </w:rPr>
        <w:t>the character and appearance (including design</w:t>
      </w:r>
      <w:r w:rsidR="00726435">
        <w:rPr>
          <w:sz w:val="22"/>
          <w:szCs w:val="22"/>
        </w:rPr>
        <w:t>/townscape matters</w:t>
      </w:r>
      <w:r>
        <w:rPr>
          <w:sz w:val="22"/>
          <w:szCs w:val="22"/>
        </w:rPr>
        <w:t>)</w:t>
      </w:r>
      <w:r w:rsidRPr="000D2CCE">
        <w:rPr>
          <w:sz w:val="22"/>
          <w:szCs w:val="22"/>
        </w:rPr>
        <w:t xml:space="preserve"> </w:t>
      </w:r>
      <w:r>
        <w:rPr>
          <w:sz w:val="22"/>
          <w:szCs w:val="22"/>
        </w:rPr>
        <w:t>main issue</w:t>
      </w:r>
      <w:r w:rsidRPr="000D2CCE">
        <w:rPr>
          <w:sz w:val="22"/>
          <w:szCs w:val="22"/>
        </w:rPr>
        <w:t xml:space="preserve"> would be </w:t>
      </w:r>
      <w:r>
        <w:rPr>
          <w:sz w:val="22"/>
          <w:szCs w:val="22"/>
        </w:rPr>
        <w:t>best</w:t>
      </w:r>
      <w:r w:rsidRPr="000D2CCE">
        <w:rPr>
          <w:sz w:val="22"/>
          <w:szCs w:val="22"/>
        </w:rPr>
        <w:t xml:space="preserve"> suited to a</w:t>
      </w:r>
      <w:r w:rsidR="00DA6CEF">
        <w:rPr>
          <w:sz w:val="22"/>
          <w:szCs w:val="22"/>
        </w:rPr>
        <w:br/>
      </w:r>
      <w:r w:rsidRPr="000D2CCE">
        <w:rPr>
          <w:sz w:val="22"/>
          <w:szCs w:val="22"/>
        </w:rPr>
        <w:lastRenderedPageBreak/>
        <w:t>round-table discussion, where I would ask questions directly to the parties.</w:t>
      </w:r>
      <w:r>
        <w:rPr>
          <w:sz w:val="22"/>
          <w:szCs w:val="22"/>
        </w:rPr>
        <w:t xml:space="preserve"> </w:t>
      </w:r>
      <w:r w:rsidRPr="005B67F1">
        <w:rPr>
          <w:sz w:val="22"/>
          <w:szCs w:val="22"/>
        </w:rPr>
        <w:t>I intend that discussion of the planning obligations and suggested conditions session would also be in a round-table format.</w:t>
      </w:r>
    </w:p>
    <w:p w14:paraId="7CAB6D60" w14:textId="77777777" w:rsidR="00315C66" w:rsidRDefault="00315C66" w:rsidP="00315C66">
      <w:pPr>
        <w:pStyle w:val="Default"/>
        <w:ind w:left="720"/>
        <w:rPr>
          <w:sz w:val="22"/>
          <w:szCs w:val="22"/>
        </w:rPr>
      </w:pPr>
    </w:p>
    <w:p w14:paraId="040AFDBE" w14:textId="62B990DC" w:rsidR="00716FD7" w:rsidRPr="00315C66" w:rsidRDefault="00716FD7" w:rsidP="00315C66">
      <w:pPr>
        <w:pStyle w:val="Default"/>
        <w:numPr>
          <w:ilvl w:val="0"/>
          <w:numId w:val="14"/>
        </w:numPr>
        <w:ind w:left="567" w:hanging="567"/>
        <w:rPr>
          <w:sz w:val="22"/>
          <w:szCs w:val="22"/>
        </w:rPr>
      </w:pPr>
      <w:r w:rsidRPr="00315C66">
        <w:rPr>
          <w:sz w:val="22"/>
          <w:szCs w:val="22"/>
        </w:rPr>
        <w:t xml:space="preserve">The weighing of any benefits and disadvantages of the proposed development is likely to be best dealt with through the presentation of examination-in-chief and cross-examination of the planning witnesses for the applicant and the Council, </w:t>
      </w:r>
      <w:proofErr w:type="gramStart"/>
      <w:r w:rsidRPr="00315C66">
        <w:rPr>
          <w:sz w:val="22"/>
          <w:szCs w:val="22"/>
        </w:rPr>
        <w:t>so as to</w:t>
      </w:r>
      <w:proofErr w:type="gramEnd"/>
      <w:r w:rsidRPr="00315C66">
        <w:rPr>
          <w:sz w:val="22"/>
          <w:szCs w:val="22"/>
        </w:rPr>
        <w:t xml:space="preserve"> provide me with a clear understanding of the differences between the parties on the weight to be attributed to any adverse impacts as well as any benefits of the development. This would include consideration of the heritage balance.</w:t>
      </w:r>
    </w:p>
    <w:p w14:paraId="776DE3E5" w14:textId="77777777" w:rsidR="00716FD7" w:rsidRDefault="00716FD7" w:rsidP="00716FD7">
      <w:pPr>
        <w:pStyle w:val="Default"/>
        <w:ind w:left="567"/>
        <w:rPr>
          <w:sz w:val="22"/>
          <w:szCs w:val="22"/>
        </w:rPr>
      </w:pPr>
    </w:p>
    <w:p w14:paraId="7CE9299F" w14:textId="77777777" w:rsidR="00716FD7" w:rsidRDefault="00716FD7" w:rsidP="00716FD7">
      <w:pPr>
        <w:pStyle w:val="Default"/>
        <w:numPr>
          <w:ilvl w:val="0"/>
          <w:numId w:val="14"/>
        </w:numPr>
        <w:ind w:left="567" w:hanging="567"/>
        <w:rPr>
          <w:sz w:val="22"/>
          <w:szCs w:val="22"/>
        </w:rPr>
      </w:pPr>
      <w:r w:rsidRPr="00716FD7">
        <w:rPr>
          <w:sz w:val="22"/>
          <w:szCs w:val="22"/>
        </w:rPr>
        <w:t>You are requested to give the above careful consideration in advance of the related discussion at the case management conference. It would also be useful for me to have confirmation of the number of witnesses that each party intends to call.</w:t>
      </w:r>
    </w:p>
    <w:p w14:paraId="3FCB8A6A" w14:textId="77777777" w:rsidR="00716FD7" w:rsidRDefault="00716FD7" w:rsidP="00716FD7">
      <w:pPr>
        <w:pStyle w:val="Default"/>
        <w:ind w:left="567"/>
        <w:rPr>
          <w:sz w:val="22"/>
          <w:szCs w:val="22"/>
        </w:rPr>
      </w:pPr>
    </w:p>
    <w:p w14:paraId="4ABFE5B1" w14:textId="5FF2B3D0" w:rsidR="008D2C4F" w:rsidRPr="00716FD7" w:rsidRDefault="0040248E" w:rsidP="00716FD7">
      <w:pPr>
        <w:pStyle w:val="Default"/>
        <w:numPr>
          <w:ilvl w:val="0"/>
          <w:numId w:val="14"/>
        </w:numPr>
        <w:ind w:left="567" w:hanging="567"/>
        <w:rPr>
          <w:sz w:val="22"/>
          <w:szCs w:val="22"/>
        </w:rPr>
      </w:pPr>
      <w:r w:rsidRPr="00716FD7">
        <w:rPr>
          <w:color w:val="auto"/>
          <w:sz w:val="22"/>
          <w:szCs w:val="22"/>
        </w:rPr>
        <w:t xml:space="preserve">The attached Annex sets out the preferred format and content of proofs and other material, which should be observed. </w:t>
      </w:r>
    </w:p>
    <w:p w14:paraId="165CFD0E" w14:textId="6ABFD5D1" w:rsidR="00DA390E" w:rsidRDefault="00DA390E" w:rsidP="00DA390E">
      <w:pPr>
        <w:pStyle w:val="Default"/>
        <w:ind w:left="720"/>
        <w:rPr>
          <w:sz w:val="22"/>
          <w:szCs w:val="22"/>
        </w:rPr>
      </w:pPr>
    </w:p>
    <w:p w14:paraId="48B2D55C" w14:textId="77777777" w:rsidR="008964FC" w:rsidRPr="00944207" w:rsidRDefault="008964FC" w:rsidP="008964FC">
      <w:pPr>
        <w:pStyle w:val="Default"/>
        <w:rPr>
          <w:b/>
          <w:bCs/>
          <w:sz w:val="22"/>
          <w:szCs w:val="22"/>
        </w:rPr>
      </w:pPr>
      <w:r w:rsidRPr="00944207">
        <w:rPr>
          <w:b/>
          <w:bCs/>
          <w:sz w:val="22"/>
          <w:szCs w:val="22"/>
        </w:rPr>
        <w:t>Probity Declaration</w:t>
      </w:r>
    </w:p>
    <w:p w14:paraId="0FAFF607" w14:textId="77777777" w:rsidR="008964FC" w:rsidRDefault="008964FC" w:rsidP="008964FC">
      <w:pPr>
        <w:pStyle w:val="Default"/>
        <w:ind w:left="720"/>
        <w:rPr>
          <w:color w:val="auto"/>
          <w:sz w:val="22"/>
          <w:szCs w:val="22"/>
        </w:rPr>
      </w:pPr>
    </w:p>
    <w:p w14:paraId="6C7E2895" w14:textId="466DD000" w:rsidR="008964FC" w:rsidRPr="005E1D4E" w:rsidRDefault="008964FC" w:rsidP="008964FC">
      <w:pPr>
        <w:pStyle w:val="Default"/>
        <w:numPr>
          <w:ilvl w:val="0"/>
          <w:numId w:val="14"/>
        </w:numPr>
        <w:ind w:left="567" w:hanging="567"/>
        <w:rPr>
          <w:sz w:val="22"/>
          <w:szCs w:val="22"/>
        </w:rPr>
      </w:pPr>
      <w:r>
        <w:rPr>
          <w:sz w:val="22"/>
          <w:szCs w:val="22"/>
        </w:rPr>
        <w:t>I was employed by the G</w:t>
      </w:r>
      <w:r w:rsidR="00AE52CA">
        <w:rPr>
          <w:sz w:val="22"/>
          <w:szCs w:val="22"/>
        </w:rPr>
        <w:t xml:space="preserve">reater </w:t>
      </w:r>
      <w:r>
        <w:rPr>
          <w:sz w:val="22"/>
          <w:szCs w:val="22"/>
        </w:rPr>
        <w:t>L</w:t>
      </w:r>
      <w:r w:rsidR="00AE52CA">
        <w:rPr>
          <w:sz w:val="22"/>
          <w:szCs w:val="22"/>
        </w:rPr>
        <w:t xml:space="preserve">ondon </w:t>
      </w:r>
      <w:r>
        <w:rPr>
          <w:sz w:val="22"/>
          <w:szCs w:val="22"/>
        </w:rPr>
        <w:t>A</w:t>
      </w:r>
      <w:r w:rsidR="00AE52CA">
        <w:rPr>
          <w:sz w:val="22"/>
          <w:szCs w:val="22"/>
        </w:rPr>
        <w:t>uthority</w:t>
      </w:r>
      <w:r>
        <w:rPr>
          <w:sz w:val="22"/>
          <w:szCs w:val="22"/>
        </w:rPr>
        <w:t xml:space="preserve"> </w:t>
      </w:r>
      <w:r w:rsidR="00AE52CA">
        <w:rPr>
          <w:sz w:val="22"/>
          <w:szCs w:val="22"/>
        </w:rPr>
        <w:t xml:space="preserve">(GLA) </w:t>
      </w:r>
      <w:r>
        <w:rPr>
          <w:sz w:val="22"/>
          <w:szCs w:val="22"/>
        </w:rPr>
        <w:t>between 2009 and 2012, reporting and providing advice to the Mayor of London on major applications and the London Plan</w:t>
      </w:r>
      <w:r w:rsidR="00CB4004">
        <w:rPr>
          <w:sz w:val="22"/>
          <w:szCs w:val="22"/>
        </w:rPr>
        <w:t>,</w:t>
      </w:r>
      <w:r>
        <w:rPr>
          <w:sz w:val="22"/>
          <w:szCs w:val="22"/>
        </w:rPr>
        <w:t xml:space="preserve"> at the same time as </w:t>
      </w:r>
      <w:r w:rsidR="006C4D38">
        <w:rPr>
          <w:sz w:val="22"/>
          <w:szCs w:val="22"/>
        </w:rPr>
        <w:t>one</w:t>
      </w:r>
      <w:r>
        <w:rPr>
          <w:sz w:val="22"/>
          <w:szCs w:val="22"/>
        </w:rPr>
        <w:t xml:space="preserve"> of the </w:t>
      </w:r>
      <w:r w:rsidR="00395DBE">
        <w:rPr>
          <w:sz w:val="22"/>
          <w:szCs w:val="22"/>
        </w:rPr>
        <w:t xml:space="preserve">named </w:t>
      </w:r>
      <w:r>
        <w:rPr>
          <w:sz w:val="22"/>
          <w:szCs w:val="22"/>
        </w:rPr>
        <w:t xml:space="preserve">officers </w:t>
      </w:r>
      <w:r w:rsidR="00395DBE">
        <w:rPr>
          <w:sz w:val="22"/>
          <w:szCs w:val="22"/>
        </w:rPr>
        <w:t>listed in</w:t>
      </w:r>
      <w:r>
        <w:rPr>
          <w:sz w:val="22"/>
          <w:szCs w:val="22"/>
        </w:rPr>
        <w:t xml:space="preserve"> the GLA stage 1 report. There will be an opportunity to discuss this matter at the conference.</w:t>
      </w:r>
    </w:p>
    <w:p w14:paraId="3EE7C541" w14:textId="77777777" w:rsidR="008964FC" w:rsidRDefault="008964FC" w:rsidP="008964FC">
      <w:pPr>
        <w:pStyle w:val="Default"/>
        <w:ind w:left="720"/>
        <w:rPr>
          <w:sz w:val="22"/>
          <w:szCs w:val="22"/>
        </w:rPr>
      </w:pPr>
    </w:p>
    <w:p w14:paraId="5C872275" w14:textId="46C033E0" w:rsidR="008964FC" w:rsidRDefault="008964FC" w:rsidP="008964FC">
      <w:pPr>
        <w:pStyle w:val="Default"/>
        <w:numPr>
          <w:ilvl w:val="0"/>
          <w:numId w:val="14"/>
        </w:numPr>
        <w:ind w:left="567" w:hanging="567"/>
        <w:rPr>
          <w:sz w:val="22"/>
          <w:szCs w:val="22"/>
        </w:rPr>
      </w:pPr>
      <w:r>
        <w:rPr>
          <w:sz w:val="22"/>
          <w:szCs w:val="22"/>
        </w:rPr>
        <w:t>Thank you for your participation and assistance, and I look forward to meeting you on 17 May.</w:t>
      </w:r>
      <w:r>
        <w:rPr>
          <w:sz w:val="22"/>
          <w:szCs w:val="22"/>
        </w:rPr>
        <w:br/>
      </w:r>
    </w:p>
    <w:p w14:paraId="224CBB5C" w14:textId="3EDB9AA8" w:rsidR="0040248E" w:rsidRPr="0040248E" w:rsidRDefault="0040248E" w:rsidP="0040248E">
      <w:pPr>
        <w:pStyle w:val="Default"/>
        <w:rPr>
          <w:color w:val="auto"/>
          <w:sz w:val="22"/>
          <w:szCs w:val="22"/>
        </w:rPr>
      </w:pPr>
    </w:p>
    <w:p w14:paraId="74BC6D9E" w14:textId="59F65C09" w:rsidR="0040248E" w:rsidRPr="008D2C4F" w:rsidRDefault="008D2C4F" w:rsidP="0040248E">
      <w:pPr>
        <w:pStyle w:val="Default"/>
        <w:rPr>
          <w:rFonts w:ascii="Monotype Corsiva" w:hAnsi="Monotype Corsiva" w:cs="Monotype Corsiva"/>
          <w:color w:val="auto"/>
          <w:sz w:val="36"/>
          <w:szCs w:val="36"/>
        </w:rPr>
      </w:pPr>
      <w:r w:rsidRPr="008D2C4F">
        <w:rPr>
          <w:rFonts w:ascii="Monotype Corsiva" w:hAnsi="Monotype Corsiva" w:cs="Monotype Corsiva"/>
          <w:i/>
          <w:iCs/>
          <w:color w:val="auto"/>
          <w:sz w:val="36"/>
          <w:szCs w:val="36"/>
        </w:rPr>
        <w:t>G Rollings</w:t>
      </w:r>
    </w:p>
    <w:p w14:paraId="7BC64540" w14:textId="34C8BDBF" w:rsidR="0040248E" w:rsidRPr="0040248E" w:rsidRDefault="0040248E" w:rsidP="0040248E">
      <w:pPr>
        <w:pStyle w:val="Default"/>
        <w:rPr>
          <w:color w:val="auto"/>
          <w:sz w:val="22"/>
          <w:szCs w:val="22"/>
        </w:rPr>
      </w:pPr>
      <w:r w:rsidRPr="0040248E">
        <w:rPr>
          <w:color w:val="auto"/>
          <w:sz w:val="22"/>
          <w:szCs w:val="22"/>
        </w:rPr>
        <w:t xml:space="preserve">INSPECTOR </w:t>
      </w:r>
      <w:r w:rsidR="00A357F6">
        <w:rPr>
          <w:color w:val="auto"/>
          <w:sz w:val="22"/>
          <w:szCs w:val="22"/>
        </w:rPr>
        <w:br/>
      </w:r>
      <w:r w:rsidR="008964FC">
        <w:rPr>
          <w:color w:val="auto"/>
          <w:sz w:val="22"/>
          <w:szCs w:val="22"/>
        </w:rPr>
        <w:t>10 May</w:t>
      </w:r>
      <w:r w:rsidR="00A357F6">
        <w:rPr>
          <w:color w:val="auto"/>
          <w:sz w:val="22"/>
          <w:szCs w:val="22"/>
        </w:rPr>
        <w:t xml:space="preserve"> 202</w:t>
      </w:r>
      <w:r w:rsidR="008964FC">
        <w:rPr>
          <w:color w:val="auto"/>
          <w:sz w:val="22"/>
          <w:szCs w:val="22"/>
        </w:rPr>
        <w:t>4</w:t>
      </w:r>
    </w:p>
    <w:p w14:paraId="54971BB3" w14:textId="77777777" w:rsidR="0040248E" w:rsidRPr="0040248E" w:rsidRDefault="0040248E" w:rsidP="0040248E">
      <w:pPr>
        <w:pStyle w:val="Default"/>
        <w:rPr>
          <w:rFonts w:cstheme="minorBidi"/>
          <w:color w:val="auto"/>
          <w:sz w:val="22"/>
          <w:szCs w:val="22"/>
        </w:rPr>
      </w:pPr>
    </w:p>
    <w:p w14:paraId="440E92B9" w14:textId="672B81B9" w:rsidR="0040248E" w:rsidRPr="0040248E" w:rsidRDefault="009C2BB0" w:rsidP="0040248E">
      <w:pPr>
        <w:pStyle w:val="Default"/>
        <w:pageBreakBefore/>
        <w:rPr>
          <w:rFonts w:cstheme="minorBidi"/>
          <w:color w:val="auto"/>
          <w:sz w:val="22"/>
          <w:szCs w:val="22"/>
        </w:rPr>
      </w:pPr>
      <w:r>
        <w:rPr>
          <w:rFonts w:cstheme="minorBidi"/>
          <w:b/>
          <w:bCs/>
          <w:color w:val="auto"/>
          <w:sz w:val="22"/>
          <w:szCs w:val="22"/>
        </w:rPr>
        <w:lastRenderedPageBreak/>
        <w:t xml:space="preserve">Annex: </w:t>
      </w:r>
      <w:r w:rsidR="0040248E" w:rsidRPr="0040248E">
        <w:rPr>
          <w:rFonts w:cstheme="minorBidi"/>
          <w:b/>
          <w:bCs/>
          <w:color w:val="auto"/>
          <w:sz w:val="22"/>
          <w:szCs w:val="22"/>
        </w:rPr>
        <w:t xml:space="preserve">Content and Format of Proofs and Appendices </w:t>
      </w:r>
    </w:p>
    <w:p w14:paraId="00A69953" w14:textId="77777777" w:rsidR="00805037" w:rsidRDefault="00805037" w:rsidP="0040248E">
      <w:pPr>
        <w:pStyle w:val="Default"/>
        <w:rPr>
          <w:color w:val="auto"/>
          <w:sz w:val="22"/>
          <w:szCs w:val="22"/>
        </w:rPr>
      </w:pPr>
    </w:p>
    <w:p w14:paraId="7E1F8C42" w14:textId="4DEFB95A" w:rsidR="0040248E" w:rsidRPr="00FA5301" w:rsidRDefault="0040248E" w:rsidP="0040248E">
      <w:pPr>
        <w:pStyle w:val="Default"/>
        <w:rPr>
          <w:i/>
          <w:iCs/>
          <w:color w:val="auto"/>
          <w:sz w:val="22"/>
          <w:szCs w:val="22"/>
        </w:rPr>
      </w:pPr>
      <w:r w:rsidRPr="00FA5301">
        <w:rPr>
          <w:i/>
          <w:iCs/>
          <w:color w:val="auto"/>
          <w:sz w:val="22"/>
          <w:szCs w:val="22"/>
        </w:rPr>
        <w:t xml:space="preserve">Content </w:t>
      </w:r>
    </w:p>
    <w:p w14:paraId="31667F44" w14:textId="77777777" w:rsidR="00FA5301" w:rsidRDefault="00FA5301" w:rsidP="0040248E">
      <w:pPr>
        <w:pStyle w:val="Default"/>
        <w:rPr>
          <w:color w:val="auto"/>
          <w:sz w:val="22"/>
          <w:szCs w:val="22"/>
        </w:rPr>
      </w:pPr>
    </w:p>
    <w:p w14:paraId="1B54C401" w14:textId="442D308A" w:rsidR="0040248E" w:rsidRPr="0040248E" w:rsidRDefault="0040248E" w:rsidP="0040248E">
      <w:pPr>
        <w:pStyle w:val="Default"/>
        <w:rPr>
          <w:color w:val="auto"/>
          <w:sz w:val="22"/>
          <w:szCs w:val="22"/>
        </w:rPr>
      </w:pPr>
      <w:r w:rsidRPr="0040248E">
        <w:rPr>
          <w:color w:val="auto"/>
          <w:sz w:val="22"/>
          <w:szCs w:val="22"/>
        </w:rPr>
        <w:t xml:space="preserve">Proofs of evidence </w:t>
      </w:r>
      <w:r w:rsidRPr="0040248E">
        <w:rPr>
          <w:b/>
          <w:bCs/>
          <w:color w:val="auto"/>
          <w:sz w:val="22"/>
          <w:szCs w:val="22"/>
        </w:rPr>
        <w:t>should</w:t>
      </w:r>
      <w:r w:rsidRPr="0040248E">
        <w:rPr>
          <w:color w:val="auto"/>
          <w:sz w:val="22"/>
          <w:szCs w:val="22"/>
        </w:rPr>
        <w:t xml:space="preserve">: </w:t>
      </w:r>
      <w:r w:rsidR="00FA5301">
        <w:rPr>
          <w:color w:val="auto"/>
          <w:sz w:val="22"/>
          <w:szCs w:val="22"/>
        </w:rPr>
        <w:br/>
      </w:r>
    </w:p>
    <w:p w14:paraId="1DF00FF0" w14:textId="4DC6D2D4" w:rsidR="0040248E" w:rsidRPr="0040248E" w:rsidRDefault="0040248E" w:rsidP="00FA5301">
      <w:pPr>
        <w:pStyle w:val="Default"/>
        <w:numPr>
          <w:ilvl w:val="0"/>
          <w:numId w:val="3"/>
        </w:numPr>
        <w:tabs>
          <w:tab w:val="left" w:pos="284"/>
        </w:tabs>
        <w:rPr>
          <w:color w:val="auto"/>
          <w:sz w:val="22"/>
          <w:szCs w:val="22"/>
        </w:rPr>
      </w:pPr>
      <w:r w:rsidRPr="0040248E">
        <w:rPr>
          <w:color w:val="auto"/>
          <w:sz w:val="22"/>
          <w:szCs w:val="22"/>
        </w:rPr>
        <w:t xml:space="preserve">focus on the main issues identified, in particular on areas of </w:t>
      </w:r>
      <w:proofErr w:type="gramStart"/>
      <w:r w:rsidRPr="0040248E">
        <w:rPr>
          <w:color w:val="auto"/>
          <w:sz w:val="22"/>
          <w:szCs w:val="22"/>
        </w:rPr>
        <w:t>disagreement;</w:t>
      </w:r>
      <w:proofErr w:type="gramEnd"/>
      <w:r w:rsidRPr="0040248E">
        <w:rPr>
          <w:color w:val="auto"/>
          <w:sz w:val="22"/>
          <w:szCs w:val="22"/>
        </w:rPr>
        <w:t xml:space="preserve"> </w:t>
      </w:r>
    </w:p>
    <w:p w14:paraId="1DA03F29" w14:textId="77777777" w:rsidR="0040248E" w:rsidRPr="0040248E" w:rsidRDefault="0040248E" w:rsidP="00FA5301">
      <w:pPr>
        <w:pStyle w:val="Default"/>
        <w:tabs>
          <w:tab w:val="left" w:pos="284"/>
        </w:tabs>
        <w:rPr>
          <w:color w:val="auto"/>
          <w:sz w:val="22"/>
          <w:szCs w:val="22"/>
        </w:rPr>
      </w:pPr>
    </w:p>
    <w:p w14:paraId="27A3BA9F" w14:textId="24A279A4" w:rsidR="0040248E" w:rsidRPr="0040248E" w:rsidRDefault="0040248E" w:rsidP="00FA5301">
      <w:pPr>
        <w:pStyle w:val="Default"/>
        <w:numPr>
          <w:ilvl w:val="0"/>
          <w:numId w:val="4"/>
        </w:numPr>
        <w:tabs>
          <w:tab w:val="left" w:pos="284"/>
        </w:tabs>
        <w:rPr>
          <w:color w:val="auto"/>
          <w:sz w:val="22"/>
          <w:szCs w:val="22"/>
        </w:rPr>
      </w:pPr>
      <w:r w:rsidRPr="0040248E">
        <w:rPr>
          <w:color w:val="auto"/>
          <w:sz w:val="22"/>
          <w:szCs w:val="22"/>
        </w:rPr>
        <w:t xml:space="preserve">be proportionate to the number and complexity of issues and matters that the witness is </w:t>
      </w:r>
      <w:proofErr w:type="gramStart"/>
      <w:r w:rsidRPr="0040248E">
        <w:rPr>
          <w:color w:val="auto"/>
          <w:sz w:val="22"/>
          <w:szCs w:val="22"/>
        </w:rPr>
        <w:t>addressing;</w:t>
      </w:r>
      <w:proofErr w:type="gramEnd"/>
      <w:r w:rsidRPr="0040248E">
        <w:rPr>
          <w:color w:val="auto"/>
          <w:sz w:val="22"/>
          <w:szCs w:val="22"/>
        </w:rPr>
        <w:t xml:space="preserve"> </w:t>
      </w:r>
    </w:p>
    <w:p w14:paraId="4F3B3E7A" w14:textId="77777777" w:rsidR="0040248E" w:rsidRPr="0040248E" w:rsidRDefault="0040248E" w:rsidP="00FA5301">
      <w:pPr>
        <w:pStyle w:val="Default"/>
        <w:tabs>
          <w:tab w:val="left" w:pos="284"/>
        </w:tabs>
        <w:rPr>
          <w:color w:val="auto"/>
          <w:sz w:val="22"/>
          <w:szCs w:val="22"/>
        </w:rPr>
      </w:pPr>
    </w:p>
    <w:p w14:paraId="2ED8AA8F" w14:textId="7E8B10EF" w:rsidR="0040248E" w:rsidRPr="0040248E" w:rsidRDefault="0040248E" w:rsidP="00FA5301">
      <w:pPr>
        <w:pStyle w:val="Default"/>
        <w:numPr>
          <w:ilvl w:val="0"/>
          <w:numId w:val="5"/>
        </w:numPr>
        <w:tabs>
          <w:tab w:val="left" w:pos="284"/>
        </w:tabs>
        <w:rPr>
          <w:color w:val="auto"/>
          <w:sz w:val="22"/>
          <w:szCs w:val="22"/>
        </w:rPr>
      </w:pPr>
      <w:r w:rsidRPr="0040248E">
        <w:rPr>
          <w:color w:val="auto"/>
          <w:sz w:val="22"/>
          <w:szCs w:val="22"/>
        </w:rPr>
        <w:t xml:space="preserve">be concise, precise, relevant and contain facts and expert opinion deriving from witnesses’ own professional expertise and experience, and/or local </w:t>
      </w:r>
      <w:proofErr w:type="gramStart"/>
      <w:r w:rsidRPr="0040248E">
        <w:rPr>
          <w:color w:val="auto"/>
          <w:sz w:val="22"/>
          <w:szCs w:val="22"/>
        </w:rPr>
        <w:t>knowledge;</w:t>
      </w:r>
      <w:proofErr w:type="gramEnd"/>
      <w:r w:rsidRPr="0040248E">
        <w:rPr>
          <w:color w:val="auto"/>
          <w:sz w:val="22"/>
          <w:szCs w:val="22"/>
        </w:rPr>
        <w:t xml:space="preserve"> </w:t>
      </w:r>
    </w:p>
    <w:p w14:paraId="4913FA6D" w14:textId="77777777" w:rsidR="0040248E" w:rsidRPr="0040248E" w:rsidRDefault="0040248E" w:rsidP="00FA5301">
      <w:pPr>
        <w:pStyle w:val="Default"/>
        <w:tabs>
          <w:tab w:val="left" w:pos="284"/>
        </w:tabs>
        <w:rPr>
          <w:color w:val="auto"/>
          <w:sz w:val="22"/>
          <w:szCs w:val="22"/>
        </w:rPr>
      </w:pPr>
    </w:p>
    <w:p w14:paraId="1E7B1692" w14:textId="31B27126" w:rsidR="0040248E" w:rsidRPr="0040248E" w:rsidRDefault="0040248E" w:rsidP="00FA5301">
      <w:pPr>
        <w:pStyle w:val="Default"/>
        <w:numPr>
          <w:ilvl w:val="0"/>
          <w:numId w:val="6"/>
        </w:numPr>
        <w:tabs>
          <w:tab w:val="left" w:pos="284"/>
        </w:tabs>
        <w:rPr>
          <w:color w:val="auto"/>
          <w:sz w:val="22"/>
          <w:szCs w:val="22"/>
        </w:rPr>
      </w:pPr>
      <w:r w:rsidRPr="0040248E">
        <w:rPr>
          <w:color w:val="auto"/>
          <w:sz w:val="22"/>
          <w:szCs w:val="22"/>
        </w:rPr>
        <w:t xml:space="preserve">be prepared with a clear structure that identifies and addresses the main issues within the witness’s field of knowledge and avoids </w:t>
      </w:r>
      <w:proofErr w:type="gramStart"/>
      <w:r w:rsidRPr="0040248E">
        <w:rPr>
          <w:color w:val="auto"/>
          <w:sz w:val="22"/>
          <w:szCs w:val="22"/>
        </w:rPr>
        <w:t>repetition;</w:t>
      </w:r>
      <w:proofErr w:type="gramEnd"/>
      <w:r w:rsidRPr="0040248E">
        <w:rPr>
          <w:color w:val="auto"/>
          <w:sz w:val="22"/>
          <w:szCs w:val="22"/>
        </w:rPr>
        <w:t xml:space="preserve"> </w:t>
      </w:r>
    </w:p>
    <w:p w14:paraId="731D92E3" w14:textId="77777777" w:rsidR="0040248E" w:rsidRPr="0040248E" w:rsidRDefault="0040248E" w:rsidP="00FA5301">
      <w:pPr>
        <w:pStyle w:val="Default"/>
        <w:tabs>
          <w:tab w:val="left" w:pos="284"/>
        </w:tabs>
        <w:rPr>
          <w:color w:val="auto"/>
          <w:sz w:val="22"/>
          <w:szCs w:val="22"/>
        </w:rPr>
      </w:pPr>
    </w:p>
    <w:p w14:paraId="509902FA" w14:textId="4A3580D5" w:rsidR="0040248E" w:rsidRPr="0040248E" w:rsidRDefault="00FA5301" w:rsidP="00FA5301">
      <w:pPr>
        <w:pStyle w:val="Default"/>
        <w:numPr>
          <w:ilvl w:val="0"/>
          <w:numId w:val="7"/>
        </w:numPr>
        <w:tabs>
          <w:tab w:val="left" w:pos="284"/>
        </w:tabs>
        <w:rPr>
          <w:color w:val="auto"/>
          <w:sz w:val="22"/>
          <w:szCs w:val="22"/>
        </w:rPr>
      </w:pPr>
      <w:r>
        <w:rPr>
          <w:color w:val="auto"/>
          <w:sz w:val="22"/>
          <w:szCs w:val="22"/>
        </w:rPr>
        <w:t>f</w:t>
      </w:r>
      <w:r w:rsidR="0040248E" w:rsidRPr="0040248E">
        <w:rPr>
          <w:color w:val="auto"/>
          <w:sz w:val="22"/>
          <w:szCs w:val="22"/>
        </w:rPr>
        <w:t xml:space="preserve">ocus on what is really necessary to make the case and avoid including unnecessary material, or duplicating material in other documents or another witness’s </w:t>
      </w:r>
      <w:proofErr w:type="gramStart"/>
      <w:r w:rsidR="0040248E" w:rsidRPr="0040248E">
        <w:rPr>
          <w:color w:val="auto"/>
          <w:sz w:val="22"/>
          <w:szCs w:val="22"/>
        </w:rPr>
        <w:t>evidence;</w:t>
      </w:r>
      <w:proofErr w:type="gramEnd"/>
      <w:r w:rsidR="0040248E" w:rsidRPr="0040248E">
        <w:rPr>
          <w:color w:val="auto"/>
          <w:sz w:val="22"/>
          <w:szCs w:val="22"/>
        </w:rPr>
        <w:t xml:space="preserve"> </w:t>
      </w:r>
    </w:p>
    <w:p w14:paraId="19141C0C" w14:textId="77777777" w:rsidR="0040248E" w:rsidRPr="0040248E" w:rsidRDefault="0040248E" w:rsidP="00FA5301">
      <w:pPr>
        <w:pStyle w:val="Default"/>
        <w:tabs>
          <w:tab w:val="left" w:pos="284"/>
        </w:tabs>
        <w:rPr>
          <w:color w:val="auto"/>
          <w:sz w:val="22"/>
          <w:szCs w:val="22"/>
        </w:rPr>
      </w:pPr>
    </w:p>
    <w:p w14:paraId="3384A910" w14:textId="62EA4915" w:rsidR="0040248E" w:rsidRPr="0040248E" w:rsidRDefault="0040248E" w:rsidP="00FA5301">
      <w:pPr>
        <w:pStyle w:val="Default"/>
        <w:numPr>
          <w:ilvl w:val="0"/>
          <w:numId w:val="8"/>
        </w:numPr>
        <w:tabs>
          <w:tab w:val="left" w:pos="284"/>
        </w:tabs>
        <w:rPr>
          <w:color w:val="auto"/>
          <w:sz w:val="22"/>
          <w:szCs w:val="22"/>
        </w:rPr>
      </w:pPr>
      <w:r w:rsidRPr="0040248E">
        <w:rPr>
          <w:color w:val="auto"/>
          <w:sz w:val="22"/>
          <w:szCs w:val="22"/>
        </w:rPr>
        <w:t xml:space="preserve">where data is referred to, include that data, and outline any relevant assessment methodology and the assumptions used to support the arguments (unless this material has been previously agreed and is included as part of the statement of common ground). </w:t>
      </w:r>
    </w:p>
    <w:p w14:paraId="0356A734" w14:textId="77777777" w:rsidR="0040248E" w:rsidRPr="0040248E" w:rsidRDefault="0040248E" w:rsidP="0040248E">
      <w:pPr>
        <w:pStyle w:val="Default"/>
        <w:rPr>
          <w:color w:val="auto"/>
          <w:sz w:val="22"/>
          <w:szCs w:val="22"/>
        </w:rPr>
      </w:pPr>
    </w:p>
    <w:p w14:paraId="2E5927F2" w14:textId="6B6CAFB9" w:rsidR="0040248E" w:rsidRPr="0040248E" w:rsidRDefault="0040248E" w:rsidP="00FA5301">
      <w:pPr>
        <w:pStyle w:val="Default"/>
        <w:tabs>
          <w:tab w:val="left" w:pos="284"/>
        </w:tabs>
        <w:rPr>
          <w:color w:val="auto"/>
          <w:sz w:val="22"/>
          <w:szCs w:val="22"/>
        </w:rPr>
      </w:pPr>
      <w:r w:rsidRPr="0040248E">
        <w:rPr>
          <w:color w:val="auto"/>
          <w:sz w:val="22"/>
          <w:szCs w:val="22"/>
        </w:rPr>
        <w:t xml:space="preserve">Proofs </w:t>
      </w:r>
      <w:r w:rsidRPr="0040248E">
        <w:rPr>
          <w:b/>
          <w:bCs/>
          <w:color w:val="auto"/>
          <w:sz w:val="22"/>
          <w:szCs w:val="22"/>
        </w:rPr>
        <w:t>should not</w:t>
      </w:r>
      <w:r w:rsidRPr="0040248E">
        <w:rPr>
          <w:color w:val="auto"/>
          <w:sz w:val="22"/>
          <w:szCs w:val="22"/>
        </w:rPr>
        <w:t xml:space="preserve">: </w:t>
      </w:r>
      <w:r w:rsidR="00FA5301">
        <w:rPr>
          <w:color w:val="auto"/>
          <w:sz w:val="22"/>
          <w:szCs w:val="22"/>
        </w:rPr>
        <w:br/>
      </w:r>
    </w:p>
    <w:p w14:paraId="2D5E2F47" w14:textId="6CB15DE9" w:rsidR="0040248E" w:rsidRPr="0040248E" w:rsidRDefault="0040248E" w:rsidP="00FA5301">
      <w:pPr>
        <w:pStyle w:val="Default"/>
        <w:numPr>
          <w:ilvl w:val="0"/>
          <w:numId w:val="9"/>
        </w:numPr>
        <w:tabs>
          <w:tab w:val="left" w:pos="284"/>
        </w:tabs>
        <w:rPr>
          <w:color w:val="auto"/>
          <w:sz w:val="22"/>
          <w:szCs w:val="22"/>
        </w:rPr>
      </w:pPr>
      <w:r w:rsidRPr="0040248E">
        <w:rPr>
          <w:color w:val="auto"/>
          <w:sz w:val="22"/>
          <w:szCs w:val="22"/>
        </w:rPr>
        <w:t xml:space="preserve">duplicate information already included in other Inquiry material, such as site description, planning history and the relevant planning </w:t>
      </w:r>
      <w:proofErr w:type="gramStart"/>
      <w:r w:rsidRPr="0040248E">
        <w:rPr>
          <w:color w:val="auto"/>
          <w:sz w:val="22"/>
          <w:szCs w:val="22"/>
        </w:rPr>
        <w:t>policy;</w:t>
      </w:r>
      <w:proofErr w:type="gramEnd"/>
      <w:r w:rsidRPr="0040248E">
        <w:rPr>
          <w:color w:val="auto"/>
          <w:sz w:val="22"/>
          <w:szCs w:val="22"/>
        </w:rPr>
        <w:t xml:space="preserve"> </w:t>
      </w:r>
    </w:p>
    <w:p w14:paraId="114891C2" w14:textId="77777777" w:rsidR="0040248E" w:rsidRPr="0040248E" w:rsidRDefault="0040248E" w:rsidP="00FA5301">
      <w:pPr>
        <w:pStyle w:val="Default"/>
        <w:tabs>
          <w:tab w:val="left" w:pos="284"/>
        </w:tabs>
        <w:rPr>
          <w:color w:val="auto"/>
          <w:sz w:val="22"/>
          <w:szCs w:val="22"/>
        </w:rPr>
      </w:pPr>
    </w:p>
    <w:p w14:paraId="280C8696" w14:textId="537A83D0" w:rsidR="0040248E" w:rsidRPr="0040248E" w:rsidRDefault="0040248E" w:rsidP="00FA5301">
      <w:pPr>
        <w:pStyle w:val="Default"/>
        <w:numPr>
          <w:ilvl w:val="0"/>
          <w:numId w:val="10"/>
        </w:numPr>
        <w:tabs>
          <w:tab w:val="left" w:pos="284"/>
        </w:tabs>
        <w:rPr>
          <w:color w:val="auto"/>
          <w:sz w:val="22"/>
          <w:szCs w:val="22"/>
        </w:rPr>
      </w:pPr>
      <w:r w:rsidRPr="0040248E">
        <w:rPr>
          <w:color w:val="auto"/>
          <w:sz w:val="22"/>
          <w:szCs w:val="22"/>
        </w:rPr>
        <w:t xml:space="preserve">recite the text of policies referred to elsewhere: the proofs need only identify the relevant policy numbers, with extracts being provided as core documents. Only policies which are needed to understand the argument being put forward and are fundamental to an appraisal of the proposals’ merits need be referred to. </w:t>
      </w:r>
    </w:p>
    <w:p w14:paraId="0393EA6F" w14:textId="77777777" w:rsidR="0040248E" w:rsidRPr="0040248E" w:rsidRDefault="0040248E" w:rsidP="0040248E">
      <w:pPr>
        <w:pStyle w:val="Default"/>
        <w:rPr>
          <w:color w:val="auto"/>
          <w:sz w:val="22"/>
          <w:szCs w:val="22"/>
        </w:rPr>
      </w:pPr>
    </w:p>
    <w:p w14:paraId="5C9551CE" w14:textId="00CDA0A1" w:rsidR="0040248E" w:rsidRPr="00FA5301" w:rsidRDefault="0040248E" w:rsidP="0040248E">
      <w:pPr>
        <w:pStyle w:val="Default"/>
        <w:rPr>
          <w:i/>
          <w:iCs/>
          <w:color w:val="auto"/>
          <w:sz w:val="22"/>
          <w:szCs w:val="22"/>
        </w:rPr>
      </w:pPr>
      <w:r w:rsidRPr="00FA5301">
        <w:rPr>
          <w:i/>
          <w:iCs/>
          <w:color w:val="auto"/>
          <w:sz w:val="22"/>
          <w:szCs w:val="22"/>
        </w:rPr>
        <w:t>Format of proofs and appendices</w:t>
      </w:r>
    </w:p>
    <w:p w14:paraId="3D33136D" w14:textId="77777777" w:rsidR="00FA5301" w:rsidRPr="0040248E" w:rsidRDefault="00FA5301" w:rsidP="0040248E">
      <w:pPr>
        <w:pStyle w:val="Default"/>
        <w:rPr>
          <w:color w:val="auto"/>
          <w:sz w:val="22"/>
          <w:szCs w:val="22"/>
        </w:rPr>
      </w:pPr>
    </w:p>
    <w:p w14:paraId="6C2C4474" w14:textId="0436DB16" w:rsidR="00FA5301" w:rsidRPr="0040248E" w:rsidRDefault="0040248E" w:rsidP="00FA5301">
      <w:pPr>
        <w:pStyle w:val="Default"/>
        <w:numPr>
          <w:ilvl w:val="0"/>
          <w:numId w:val="11"/>
        </w:numPr>
        <w:tabs>
          <w:tab w:val="left" w:pos="284"/>
        </w:tabs>
        <w:spacing w:after="292"/>
        <w:rPr>
          <w:color w:val="auto"/>
          <w:sz w:val="22"/>
          <w:szCs w:val="22"/>
        </w:rPr>
      </w:pPr>
      <w:r w:rsidRPr="0040248E">
        <w:rPr>
          <w:color w:val="auto"/>
          <w:sz w:val="22"/>
          <w:szCs w:val="22"/>
        </w:rPr>
        <w:t xml:space="preserve">Proofs to be no longer than 3000 words if possible. Where proofs are longer than 1500 words, summaries are to be submitted. </w:t>
      </w:r>
    </w:p>
    <w:p w14:paraId="55DABE94" w14:textId="47F2E48A" w:rsidR="0040248E" w:rsidRPr="0040248E" w:rsidRDefault="0040248E" w:rsidP="00FA5301">
      <w:pPr>
        <w:pStyle w:val="Default"/>
        <w:numPr>
          <w:ilvl w:val="0"/>
          <w:numId w:val="11"/>
        </w:numPr>
        <w:tabs>
          <w:tab w:val="left" w:pos="284"/>
        </w:tabs>
        <w:spacing w:after="292"/>
        <w:rPr>
          <w:color w:val="auto"/>
          <w:sz w:val="22"/>
          <w:szCs w:val="22"/>
        </w:rPr>
      </w:pPr>
      <w:r w:rsidRPr="0040248E">
        <w:rPr>
          <w:color w:val="auto"/>
          <w:sz w:val="22"/>
          <w:szCs w:val="22"/>
        </w:rPr>
        <w:t xml:space="preserve">Proofs are to be bound in such a way as to be easily opened and read. </w:t>
      </w:r>
    </w:p>
    <w:p w14:paraId="43CE0A62" w14:textId="5A363B01" w:rsidR="0040248E" w:rsidRPr="0040248E" w:rsidRDefault="0040248E" w:rsidP="00FA5301">
      <w:pPr>
        <w:pStyle w:val="Default"/>
        <w:numPr>
          <w:ilvl w:val="0"/>
          <w:numId w:val="11"/>
        </w:numPr>
        <w:tabs>
          <w:tab w:val="left" w:pos="284"/>
        </w:tabs>
        <w:spacing w:after="292"/>
        <w:rPr>
          <w:color w:val="auto"/>
          <w:sz w:val="22"/>
          <w:szCs w:val="22"/>
        </w:rPr>
      </w:pPr>
      <w:r w:rsidRPr="0040248E">
        <w:rPr>
          <w:color w:val="auto"/>
          <w:sz w:val="22"/>
          <w:szCs w:val="22"/>
        </w:rPr>
        <w:t xml:space="preserve">Front covers to proofs and appendices are to be clearly titled, with the name of the witness on the cover. </w:t>
      </w:r>
    </w:p>
    <w:p w14:paraId="52712A8A" w14:textId="42F34CE7" w:rsidR="0040248E" w:rsidRPr="0040248E" w:rsidRDefault="0040248E" w:rsidP="00FA5301">
      <w:pPr>
        <w:pStyle w:val="Default"/>
        <w:numPr>
          <w:ilvl w:val="0"/>
          <w:numId w:val="11"/>
        </w:numPr>
        <w:tabs>
          <w:tab w:val="left" w:pos="284"/>
        </w:tabs>
        <w:spacing w:after="292"/>
        <w:rPr>
          <w:color w:val="auto"/>
          <w:sz w:val="22"/>
          <w:szCs w:val="22"/>
        </w:rPr>
      </w:pPr>
      <w:r w:rsidRPr="0040248E">
        <w:rPr>
          <w:color w:val="auto"/>
          <w:sz w:val="22"/>
          <w:szCs w:val="22"/>
        </w:rPr>
        <w:t xml:space="preserve">Pages and paragraphs should be numbered. </w:t>
      </w:r>
    </w:p>
    <w:p w14:paraId="62681598" w14:textId="27AA7DC5" w:rsidR="00EF0D20" w:rsidRDefault="00FA5301" w:rsidP="00EF0D20">
      <w:pPr>
        <w:pStyle w:val="Default"/>
        <w:numPr>
          <w:ilvl w:val="0"/>
          <w:numId w:val="11"/>
        </w:numPr>
        <w:tabs>
          <w:tab w:val="left" w:pos="284"/>
        </w:tabs>
        <w:rPr>
          <w:color w:val="auto"/>
          <w:sz w:val="22"/>
          <w:szCs w:val="22"/>
        </w:rPr>
      </w:pPr>
      <w:r>
        <w:rPr>
          <w:color w:val="auto"/>
          <w:sz w:val="22"/>
          <w:szCs w:val="22"/>
        </w:rPr>
        <w:t>A</w:t>
      </w:r>
      <w:r w:rsidR="0040248E" w:rsidRPr="0040248E">
        <w:rPr>
          <w:color w:val="auto"/>
          <w:sz w:val="22"/>
          <w:szCs w:val="22"/>
        </w:rPr>
        <w:t>ppendices are to be bound separately.</w:t>
      </w:r>
    </w:p>
    <w:p w14:paraId="52A7A57D" w14:textId="77777777" w:rsidR="00EF0D20" w:rsidRPr="00EF0D20" w:rsidRDefault="00EF0D20" w:rsidP="00EF0D20">
      <w:pPr>
        <w:pStyle w:val="Default"/>
        <w:tabs>
          <w:tab w:val="left" w:pos="284"/>
        </w:tabs>
        <w:rPr>
          <w:color w:val="auto"/>
          <w:sz w:val="22"/>
          <w:szCs w:val="22"/>
        </w:rPr>
      </w:pPr>
    </w:p>
    <w:p w14:paraId="1F0B05BE" w14:textId="490824B4" w:rsidR="0040248E" w:rsidRPr="0040248E" w:rsidRDefault="0040248E" w:rsidP="00FA5301">
      <w:pPr>
        <w:pStyle w:val="Default"/>
        <w:numPr>
          <w:ilvl w:val="0"/>
          <w:numId w:val="12"/>
        </w:numPr>
        <w:tabs>
          <w:tab w:val="left" w:pos="284"/>
        </w:tabs>
        <w:rPr>
          <w:color w:val="auto"/>
          <w:sz w:val="22"/>
          <w:szCs w:val="22"/>
        </w:rPr>
      </w:pPr>
      <w:r w:rsidRPr="0040248E">
        <w:rPr>
          <w:color w:val="auto"/>
          <w:sz w:val="22"/>
          <w:szCs w:val="22"/>
        </w:rPr>
        <w:t xml:space="preserve">Appendices are to be indexed using </w:t>
      </w:r>
      <w:r w:rsidRPr="00EF0D20">
        <w:rPr>
          <w:color w:val="auto"/>
          <w:sz w:val="22"/>
          <w:szCs w:val="22"/>
        </w:rPr>
        <w:t>projecting tabs</w:t>
      </w:r>
      <w:r w:rsidRPr="0040248E">
        <w:rPr>
          <w:color w:val="auto"/>
          <w:sz w:val="22"/>
          <w:szCs w:val="22"/>
        </w:rPr>
        <w:t xml:space="preserve">, labelled and </w:t>
      </w:r>
      <w:r w:rsidRPr="00EF0D20">
        <w:rPr>
          <w:color w:val="auto"/>
          <w:sz w:val="22"/>
          <w:szCs w:val="22"/>
        </w:rPr>
        <w:t>paginated</w:t>
      </w:r>
      <w:r w:rsidRPr="0040248E">
        <w:rPr>
          <w:color w:val="auto"/>
          <w:sz w:val="22"/>
          <w:szCs w:val="22"/>
        </w:rPr>
        <w:t xml:space="preserve">. </w:t>
      </w:r>
    </w:p>
    <w:sectPr w:rsidR="0040248E" w:rsidRPr="0040248E" w:rsidSect="00EF0D20">
      <w:pgSz w:w="11906" w:h="16838"/>
      <w:pgMar w:top="1440" w:right="141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6E0BA"/>
    <w:multiLevelType w:val="hybridMultilevel"/>
    <w:tmpl w:val="D0069B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1B6D41"/>
    <w:multiLevelType w:val="hybridMultilevel"/>
    <w:tmpl w:val="497194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267C1A"/>
    <w:multiLevelType w:val="hybridMultilevel"/>
    <w:tmpl w:val="BBBBA4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49B7EE"/>
    <w:multiLevelType w:val="hybridMultilevel"/>
    <w:tmpl w:val="AFE287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135F6C"/>
    <w:multiLevelType w:val="hybridMultilevel"/>
    <w:tmpl w:val="8225B9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3185FC"/>
    <w:multiLevelType w:val="hybridMultilevel"/>
    <w:tmpl w:val="86D4B4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015AA6"/>
    <w:multiLevelType w:val="hybridMultilevel"/>
    <w:tmpl w:val="8E4D47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B16F77"/>
    <w:multiLevelType w:val="hybridMultilevel"/>
    <w:tmpl w:val="E0AA9D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511F1"/>
    <w:multiLevelType w:val="hybridMultilevel"/>
    <w:tmpl w:val="FE387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17B8D"/>
    <w:multiLevelType w:val="hybridMultilevel"/>
    <w:tmpl w:val="F5A50F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F42107"/>
    <w:multiLevelType w:val="hybridMultilevel"/>
    <w:tmpl w:val="620A71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574B07"/>
    <w:multiLevelType w:val="hybridMultilevel"/>
    <w:tmpl w:val="90D05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63E9B6"/>
    <w:multiLevelType w:val="hybridMultilevel"/>
    <w:tmpl w:val="26E08C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8B8A8FF"/>
    <w:multiLevelType w:val="hybridMultilevel"/>
    <w:tmpl w:val="2380DB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302A6E"/>
    <w:multiLevelType w:val="hybridMultilevel"/>
    <w:tmpl w:val="5D0C3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59B13D"/>
    <w:multiLevelType w:val="hybridMultilevel"/>
    <w:tmpl w:val="D06659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0282080">
    <w:abstractNumId w:val="5"/>
  </w:num>
  <w:num w:numId="2" w16cid:durableId="1863399427">
    <w:abstractNumId w:val="1"/>
  </w:num>
  <w:num w:numId="3" w16cid:durableId="1217660851">
    <w:abstractNumId w:val="0"/>
  </w:num>
  <w:num w:numId="4" w16cid:durableId="1670985344">
    <w:abstractNumId w:val="11"/>
  </w:num>
  <w:num w:numId="5" w16cid:durableId="701053255">
    <w:abstractNumId w:val="12"/>
  </w:num>
  <w:num w:numId="6" w16cid:durableId="1996912468">
    <w:abstractNumId w:val="2"/>
  </w:num>
  <w:num w:numId="7" w16cid:durableId="600604645">
    <w:abstractNumId w:val="13"/>
  </w:num>
  <w:num w:numId="8" w16cid:durableId="1796294163">
    <w:abstractNumId w:val="9"/>
  </w:num>
  <w:num w:numId="9" w16cid:durableId="171574326">
    <w:abstractNumId w:val="6"/>
  </w:num>
  <w:num w:numId="10" w16cid:durableId="10493712">
    <w:abstractNumId w:val="3"/>
  </w:num>
  <w:num w:numId="11" w16cid:durableId="644429310">
    <w:abstractNumId w:val="15"/>
  </w:num>
  <w:num w:numId="12" w16cid:durableId="1097943047">
    <w:abstractNumId w:val="4"/>
  </w:num>
  <w:num w:numId="13" w16cid:durableId="1411350519">
    <w:abstractNumId w:val="8"/>
  </w:num>
  <w:num w:numId="14" w16cid:durableId="1783450208">
    <w:abstractNumId w:val="14"/>
  </w:num>
  <w:num w:numId="15" w16cid:durableId="129251779">
    <w:abstractNumId w:val="10"/>
  </w:num>
  <w:num w:numId="16" w16cid:durableId="1251157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8E"/>
    <w:rsid w:val="00042B31"/>
    <w:rsid w:val="00086161"/>
    <w:rsid w:val="00094CB9"/>
    <w:rsid w:val="000B632A"/>
    <w:rsid w:val="000E0AF7"/>
    <w:rsid w:val="000E781C"/>
    <w:rsid w:val="000F134B"/>
    <w:rsid w:val="000F78EF"/>
    <w:rsid w:val="00110CC5"/>
    <w:rsid w:val="0012724A"/>
    <w:rsid w:val="0014076B"/>
    <w:rsid w:val="00140A26"/>
    <w:rsid w:val="001651D7"/>
    <w:rsid w:val="00166E22"/>
    <w:rsid w:val="00172B95"/>
    <w:rsid w:val="00173739"/>
    <w:rsid w:val="00175C0C"/>
    <w:rsid w:val="001974F5"/>
    <w:rsid w:val="001A47FD"/>
    <w:rsid w:val="001A6B58"/>
    <w:rsid w:val="001B5CBB"/>
    <w:rsid w:val="001C0D94"/>
    <w:rsid w:val="001C68E6"/>
    <w:rsid w:val="001D1AAA"/>
    <w:rsid w:val="001F36D1"/>
    <w:rsid w:val="0021522A"/>
    <w:rsid w:val="00220E61"/>
    <w:rsid w:val="00225915"/>
    <w:rsid w:val="0023718E"/>
    <w:rsid w:val="002500AE"/>
    <w:rsid w:val="002512F2"/>
    <w:rsid w:val="00251F53"/>
    <w:rsid w:val="00274C04"/>
    <w:rsid w:val="00274CA2"/>
    <w:rsid w:val="002B1624"/>
    <w:rsid w:val="002B2219"/>
    <w:rsid w:val="002B3CB7"/>
    <w:rsid w:val="002B482B"/>
    <w:rsid w:val="002B50A3"/>
    <w:rsid w:val="002C3180"/>
    <w:rsid w:val="002C6091"/>
    <w:rsid w:val="002D7499"/>
    <w:rsid w:val="002E131D"/>
    <w:rsid w:val="002F65C4"/>
    <w:rsid w:val="002F7B97"/>
    <w:rsid w:val="003136BA"/>
    <w:rsid w:val="00315C66"/>
    <w:rsid w:val="003245CA"/>
    <w:rsid w:val="00324ED9"/>
    <w:rsid w:val="00331D3E"/>
    <w:rsid w:val="00333160"/>
    <w:rsid w:val="003369C8"/>
    <w:rsid w:val="003426C8"/>
    <w:rsid w:val="00345728"/>
    <w:rsid w:val="003537DB"/>
    <w:rsid w:val="003645C2"/>
    <w:rsid w:val="00386F93"/>
    <w:rsid w:val="0039094D"/>
    <w:rsid w:val="00391A82"/>
    <w:rsid w:val="003959DF"/>
    <w:rsid w:val="00395A7B"/>
    <w:rsid w:val="00395DBE"/>
    <w:rsid w:val="003A0293"/>
    <w:rsid w:val="003C1699"/>
    <w:rsid w:val="003D1BB2"/>
    <w:rsid w:val="003E036E"/>
    <w:rsid w:val="003E11AA"/>
    <w:rsid w:val="003F17AC"/>
    <w:rsid w:val="0040248E"/>
    <w:rsid w:val="00406A01"/>
    <w:rsid w:val="004149C5"/>
    <w:rsid w:val="00425985"/>
    <w:rsid w:val="0044083C"/>
    <w:rsid w:val="00464CDC"/>
    <w:rsid w:val="00470E24"/>
    <w:rsid w:val="0049235F"/>
    <w:rsid w:val="004A1B92"/>
    <w:rsid w:val="004A761A"/>
    <w:rsid w:val="004C6EAF"/>
    <w:rsid w:val="004C71E2"/>
    <w:rsid w:val="005023FB"/>
    <w:rsid w:val="00574014"/>
    <w:rsid w:val="0057762F"/>
    <w:rsid w:val="005B3AFC"/>
    <w:rsid w:val="005C6226"/>
    <w:rsid w:val="005D3CB2"/>
    <w:rsid w:val="005E1D4E"/>
    <w:rsid w:val="005F2419"/>
    <w:rsid w:val="005F45D0"/>
    <w:rsid w:val="006136C8"/>
    <w:rsid w:val="00630F03"/>
    <w:rsid w:val="00640A49"/>
    <w:rsid w:val="00647E1A"/>
    <w:rsid w:val="006577C9"/>
    <w:rsid w:val="00663320"/>
    <w:rsid w:val="00675251"/>
    <w:rsid w:val="006845D0"/>
    <w:rsid w:val="006A0087"/>
    <w:rsid w:val="006A7670"/>
    <w:rsid w:val="006C4D38"/>
    <w:rsid w:val="006E3C39"/>
    <w:rsid w:val="006F2A5A"/>
    <w:rsid w:val="00716FD7"/>
    <w:rsid w:val="00722CA3"/>
    <w:rsid w:val="00726435"/>
    <w:rsid w:val="00735D4C"/>
    <w:rsid w:val="00737A36"/>
    <w:rsid w:val="00737B13"/>
    <w:rsid w:val="00737FA0"/>
    <w:rsid w:val="00785897"/>
    <w:rsid w:val="007A3F84"/>
    <w:rsid w:val="007A750E"/>
    <w:rsid w:val="007B2EA1"/>
    <w:rsid w:val="007B3AEA"/>
    <w:rsid w:val="007B7500"/>
    <w:rsid w:val="007B75ED"/>
    <w:rsid w:val="007C15C6"/>
    <w:rsid w:val="007D343E"/>
    <w:rsid w:val="007D6905"/>
    <w:rsid w:val="007F236D"/>
    <w:rsid w:val="007F2F87"/>
    <w:rsid w:val="00805037"/>
    <w:rsid w:val="0082419A"/>
    <w:rsid w:val="00827BC8"/>
    <w:rsid w:val="008313AC"/>
    <w:rsid w:val="0084103A"/>
    <w:rsid w:val="0086094F"/>
    <w:rsid w:val="008609D3"/>
    <w:rsid w:val="008964FC"/>
    <w:rsid w:val="008A1608"/>
    <w:rsid w:val="008B7C87"/>
    <w:rsid w:val="008C30F8"/>
    <w:rsid w:val="008C4092"/>
    <w:rsid w:val="008D2C4F"/>
    <w:rsid w:val="008D5DAD"/>
    <w:rsid w:val="008D6945"/>
    <w:rsid w:val="00920C70"/>
    <w:rsid w:val="00932677"/>
    <w:rsid w:val="009576F0"/>
    <w:rsid w:val="00962264"/>
    <w:rsid w:val="0096607D"/>
    <w:rsid w:val="00966DCA"/>
    <w:rsid w:val="009961A8"/>
    <w:rsid w:val="009A3EF8"/>
    <w:rsid w:val="009A71D6"/>
    <w:rsid w:val="009B37C2"/>
    <w:rsid w:val="009C2BB0"/>
    <w:rsid w:val="009C37D0"/>
    <w:rsid w:val="009D09A9"/>
    <w:rsid w:val="009E4DC0"/>
    <w:rsid w:val="009F3096"/>
    <w:rsid w:val="00A26F5B"/>
    <w:rsid w:val="00A357F6"/>
    <w:rsid w:val="00A413E2"/>
    <w:rsid w:val="00A444BE"/>
    <w:rsid w:val="00A51DFB"/>
    <w:rsid w:val="00A808CA"/>
    <w:rsid w:val="00A836D7"/>
    <w:rsid w:val="00A846D9"/>
    <w:rsid w:val="00AA378B"/>
    <w:rsid w:val="00AB37A6"/>
    <w:rsid w:val="00AE52CA"/>
    <w:rsid w:val="00B03ACE"/>
    <w:rsid w:val="00B16652"/>
    <w:rsid w:val="00B17316"/>
    <w:rsid w:val="00B201F7"/>
    <w:rsid w:val="00B21D82"/>
    <w:rsid w:val="00B24449"/>
    <w:rsid w:val="00B25230"/>
    <w:rsid w:val="00B306CC"/>
    <w:rsid w:val="00B3416A"/>
    <w:rsid w:val="00B4468A"/>
    <w:rsid w:val="00B53E30"/>
    <w:rsid w:val="00B559BE"/>
    <w:rsid w:val="00B57704"/>
    <w:rsid w:val="00B75026"/>
    <w:rsid w:val="00B754D0"/>
    <w:rsid w:val="00B76DFF"/>
    <w:rsid w:val="00BA3BF9"/>
    <w:rsid w:val="00BB4035"/>
    <w:rsid w:val="00BC1296"/>
    <w:rsid w:val="00BD042E"/>
    <w:rsid w:val="00BD44C1"/>
    <w:rsid w:val="00BE0A9B"/>
    <w:rsid w:val="00BE0FFF"/>
    <w:rsid w:val="00BF3F0B"/>
    <w:rsid w:val="00C07813"/>
    <w:rsid w:val="00C24D8C"/>
    <w:rsid w:val="00C3213A"/>
    <w:rsid w:val="00C421E0"/>
    <w:rsid w:val="00C45E33"/>
    <w:rsid w:val="00C72562"/>
    <w:rsid w:val="00C754DE"/>
    <w:rsid w:val="00CA79B1"/>
    <w:rsid w:val="00CB4004"/>
    <w:rsid w:val="00CB45C5"/>
    <w:rsid w:val="00CC1A3E"/>
    <w:rsid w:val="00CD7B19"/>
    <w:rsid w:val="00CE5208"/>
    <w:rsid w:val="00CF1CFE"/>
    <w:rsid w:val="00CF5F5B"/>
    <w:rsid w:val="00D02898"/>
    <w:rsid w:val="00D213E8"/>
    <w:rsid w:val="00D330D7"/>
    <w:rsid w:val="00D34665"/>
    <w:rsid w:val="00D61AA0"/>
    <w:rsid w:val="00D61BF7"/>
    <w:rsid w:val="00D70F42"/>
    <w:rsid w:val="00D71924"/>
    <w:rsid w:val="00D81946"/>
    <w:rsid w:val="00D83020"/>
    <w:rsid w:val="00D87C17"/>
    <w:rsid w:val="00DA390E"/>
    <w:rsid w:val="00DA6CEF"/>
    <w:rsid w:val="00DC35BC"/>
    <w:rsid w:val="00DC6F64"/>
    <w:rsid w:val="00E026C9"/>
    <w:rsid w:val="00E220EC"/>
    <w:rsid w:val="00E228F0"/>
    <w:rsid w:val="00E305B3"/>
    <w:rsid w:val="00E338D6"/>
    <w:rsid w:val="00E6045F"/>
    <w:rsid w:val="00E64FF8"/>
    <w:rsid w:val="00E750C9"/>
    <w:rsid w:val="00E866B5"/>
    <w:rsid w:val="00E96D52"/>
    <w:rsid w:val="00EA55BB"/>
    <w:rsid w:val="00EA761A"/>
    <w:rsid w:val="00EB6CB0"/>
    <w:rsid w:val="00EE57C8"/>
    <w:rsid w:val="00EF0D20"/>
    <w:rsid w:val="00F00ED0"/>
    <w:rsid w:val="00F15B10"/>
    <w:rsid w:val="00F208E5"/>
    <w:rsid w:val="00F87F93"/>
    <w:rsid w:val="00FA5301"/>
    <w:rsid w:val="00FA76A5"/>
    <w:rsid w:val="00FB3D9E"/>
    <w:rsid w:val="00FB6AEC"/>
    <w:rsid w:val="00FD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C728"/>
  <w15:chartTrackingRefBased/>
  <w15:docId w15:val="{4B5E8DA5-FECC-40AA-A793-66BF28A8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48E"/>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3718E"/>
    <w:pPr>
      <w:ind w:left="720"/>
      <w:contextualSpacing/>
    </w:pPr>
  </w:style>
  <w:style w:type="paragraph" w:customStyle="1" w:styleId="Noindent">
    <w:name w:val="No indent"/>
    <w:basedOn w:val="Normal"/>
    <w:rsid w:val="00D61BF7"/>
    <w:pPr>
      <w:tabs>
        <w:tab w:val="left" w:pos="426"/>
      </w:tabs>
      <w:spacing w:after="0" w:line="240" w:lineRule="auto"/>
      <w:ind w:left="432" w:hanging="432"/>
      <w:jc w:val="both"/>
    </w:pPr>
    <w:rPr>
      <w:rFonts w:ascii="Verdana" w:eastAsia="Times New Roman" w:hAnsi="Verdan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Rollings, Glen</dc:creator>
  <cp:keywords/>
  <dc:description/>
  <cp:lastModifiedBy>Jordaney, Helen</cp:lastModifiedBy>
  <cp:revision>2</cp:revision>
  <dcterms:created xsi:type="dcterms:W3CDTF">2024-06-25T14:08:00Z</dcterms:created>
  <dcterms:modified xsi:type="dcterms:W3CDTF">2024-06-25T14:08:00Z</dcterms:modified>
</cp:coreProperties>
</file>