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753" w14:textId="65827D1D" w:rsidR="00AD4466" w:rsidRDefault="00EB36A4" w:rsidP="0039140B">
      <w:pPr>
        <w:rPr>
          <w:b/>
          <w:bCs/>
        </w:rPr>
      </w:pPr>
      <w:bookmarkStart w:id="0" w:name="_GoBack"/>
      <w:bookmarkEnd w:id="0"/>
      <w:r w:rsidRPr="00AD4466">
        <w:rPr>
          <w:b/>
          <w:bCs/>
        </w:rPr>
        <w:t xml:space="preserve">LBB comments on Appellant’s Site Allocation 10 </w:t>
      </w:r>
      <w:r w:rsidR="00AD4466" w:rsidRPr="00AD4466">
        <w:rPr>
          <w:b/>
          <w:bCs/>
        </w:rPr>
        <w:t>note</w:t>
      </w:r>
    </w:p>
    <w:p w14:paraId="4D270528" w14:textId="20D50F6D" w:rsidR="00AD4466" w:rsidRDefault="00AD4466" w:rsidP="0039140B">
      <w:r>
        <w:t xml:space="preserve">In response to ID22, the Appellant has submitted a note and accompanying maps setting out </w:t>
      </w:r>
      <w:r w:rsidR="00240A2F">
        <w:t>their assessment of the Site Allocation 10 density</w:t>
      </w:r>
      <w:r w:rsidR="009D08F0">
        <w:t xml:space="preserve">. </w:t>
      </w:r>
    </w:p>
    <w:p w14:paraId="0C10AB41" w14:textId="536A1ABE" w:rsidR="009D08F0" w:rsidRDefault="009D08F0" w:rsidP="0039140B">
      <w:r>
        <w:t>The Council have considered this note and have the following comments:</w:t>
      </w:r>
    </w:p>
    <w:p w14:paraId="078E392E" w14:textId="23A695A9" w:rsidR="002253D4" w:rsidRDefault="002253D4" w:rsidP="009D08F0">
      <w:pPr>
        <w:pStyle w:val="ListParagraph"/>
        <w:numPr>
          <w:ilvl w:val="0"/>
          <w:numId w:val="1"/>
        </w:numPr>
      </w:pPr>
      <w:r>
        <w:t xml:space="preserve">As a general point, the Council note that </w:t>
      </w:r>
      <w:r w:rsidR="003E1FEA">
        <w:t xml:space="preserve">ID21 has been completely ignored by the Appellant. As explained at the inquiry by Ben Johnson on 23 July 2024, </w:t>
      </w:r>
      <w:r w:rsidR="00C26807">
        <w:t xml:space="preserve">this document </w:t>
      </w:r>
      <w:r w:rsidR="008113DB">
        <w:t>sets out</w:t>
      </w:r>
      <w:r w:rsidR="00C26807">
        <w:t xml:space="preserve"> how the site allocation 10 quantum was derived</w:t>
      </w:r>
      <w:r w:rsidR="009A1A83">
        <w:t xml:space="preserve">, based on a </w:t>
      </w:r>
      <w:r w:rsidR="00C26807" w:rsidRPr="00C26807">
        <w:t xml:space="preserve">developable area </w:t>
      </w:r>
      <w:r w:rsidR="009A1A83">
        <w:t xml:space="preserve">of </w:t>
      </w:r>
      <w:r w:rsidR="00C26807" w:rsidRPr="00C26807">
        <w:t>2.89ha</w:t>
      </w:r>
      <w:r w:rsidR="009A1A83">
        <w:t xml:space="preserve"> multiplied by</w:t>
      </w:r>
      <w:r w:rsidR="008113DB">
        <w:t xml:space="preserve"> the London Plan density matrix upper figure</w:t>
      </w:r>
      <w:r w:rsidR="00C26807" w:rsidRPr="00C26807">
        <w:t xml:space="preserve">. This was an examination document and therefore the basis on which the allocation was found sound. </w:t>
      </w:r>
    </w:p>
    <w:p w14:paraId="58AE77FC" w14:textId="4AAA0BB9" w:rsidR="009D08F0" w:rsidRDefault="0092288F" w:rsidP="009D08F0">
      <w:pPr>
        <w:pStyle w:val="ListParagraph"/>
        <w:numPr>
          <w:ilvl w:val="0"/>
          <w:numId w:val="1"/>
        </w:numPr>
      </w:pPr>
      <w:r>
        <w:t xml:space="preserve">There are a number of errors evident in the </w:t>
      </w:r>
      <w:r w:rsidR="00764A87">
        <w:t>Appellant’s note and accompanying maps</w:t>
      </w:r>
      <w:r>
        <w:t>:</w:t>
      </w:r>
    </w:p>
    <w:p w14:paraId="037F7B72" w14:textId="151CEB4B" w:rsidR="0092288F" w:rsidRDefault="0092288F" w:rsidP="00786C77">
      <w:pPr>
        <w:pStyle w:val="ListParagraph"/>
        <w:numPr>
          <w:ilvl w:val="1"/>
          <w:numId w:val="1"/>
        </w:numPr>
      </w:pPr>
      <w:r>
        <w:t xml:space="preserve">The </w:t>
      </w:r>
      <w:r w:rsidR="00786C77">
        <w:t>maps suggest that the appeal site is</w:t>
      </w:r>
      <w:r w:rsidRPr="0092288F">
        <w:t xml:space="preserve"> </w:t>
      </w:r>
      <w:r w:rsidR="004F5DF7">
        <w:t xml:space="preserve">10,772sqm (or </w:t>
      </w:r>
      <w:r w:rsidRPr="0092288F">
        <w:t>1.0772ha</w:t>
      </w:r>
      <w:r w:rsidR="004F5DF7">
        <w:t>)</w:t>
      </w:r>
      <w:r w:rsidR="00786C77">
        <w:t xml:space="preserve">, when in fact it is </w:t>
      </w:r>
      <w:r w:rsidRPr="0092288F">
        <w:t xml:space="preserve">0.1ha. </w:t>
      </w:r>
      <w:r w:rsidR="008A4D57">
        <w:t xml:space="preserve">The error is evident even just looking at the map itself, as the map suggests that the appeal site </w:t>
      </w:r>
      <w:r w:rsidR="00685550">
        <w:t>is bigger (</w:t>
      </w:r>
      <w:r w:rsidR="00B37A7D">
        <w:t>10</w:t>
      </w:r>
      <w:r w:rsidR="002253D4">
        <w:t>,772sqm vs 7,704sqm</w:t>
      </w:r>
      <w:r w:rsidR="00685550">
        <w:t xml:space="preserve">) than </w:t>
      </w:r>
      <w:r w:rsidRPr="0092288F">
        <w:t>Churchill Quarter site</w:t>
      </w:r>
      <w:r w:rsidR="00685550">
        <w:t xml:space="preserve">, but </w:t>
      </w:r>
      <w:r w:rsidR="00B37A7D">
        <w:t>this is clearly not the case when looking at the map.</w:t>
      </w:r>
    </w:p>
    <w:p w14:paraId="3D40C402" w14:textId="2175323C" w:rsidR="002253D4" w:rsidRDefault="001542AC" w:rsidP="00786C77">
      <w:pPr>
        <w:pStyle w:val="ListParagraph"/>
        <w:numPr>
          <w:ilvl w:val="1"/>
          <w:numId w:val="1"/>
        </w:numPr>
      </w:pPr>
      <w:r>
        <w:t>The Churchill Quarter boundary does not reflect the boundary of the withdrawn scheme, which included High Street frontage</w:t>
      </w:r>
      <w:r w:rsidR="00EE0192">
        <w:t xml:space="preserve"> within the conservation area. It is not agreed that the conservation area is a barrier to development in principle.</w:t>
      </w:r>
    </w:p>
    <w:p w14:paraId="523BE5FE" w14:textId="054FFA7F" w:rsidR="00C05743" w:rsidRDefault="00C05743" w:rsidP="00786C77">
      <w:pPr>
        <w:pStyle w:val="ListParagraph"/>
        <w:numPr>
          <w:ilvl w:val="1"/>
          <w:numId w:val="1"/>
        </w:numPr>
      </w:pPr>
      <w:r>
        <w:t xml:space="preserve">The tracks at Bromley South station have been erroneously excluded. The allocation quantum </w:t>
      </w:r>
      <w:r w:rsidR="0086205F">
        <w:t>could include over station development hence it is right to include the tracks in the developable area.</w:t>
      </w:r>
    </w:p>
    <w:p w14:paraId="4F88DDC4" w14:textId="01017486" w:rsidR="00775D18" w:rsidRDefault="00775D18" w:rsidP="00786C77">
      <w:pPr>
        <w:pStyle w:val="ListParagraph"/>
        <w:numPr>
          <w:ilvl w:val="1"/>
          <w:numId w:val="1"/>
        </w:numPr>
      </w:pPr>
      <w:r>
        <w:t xml:space="preserve">Even assuming the Appellant’s figures are correct, it is not clear how they have arrived at </w:t>
      </w:r>
      <w:r w:rsidR="00003FF8">
        <w:t>their figure of 13,257sqm for Sites of Potential Development</w:t>
      </w:r>
      <w:r w:rsidR="00107CC4">
        <w:t>, lo</w:t>
      </w:r>
      <w:r w:rsidR="006759FC">
        <w:t>oking at page 9 of their map document</w:t>
      </w:r>
      <w:r w:rsidR="00107CC4">
        <w:t>. Taking t</w:t>
      </w:r>
      <w:r w:rsidR="008634FE" w:rsidRPr="008634FE">
        <w:t>he site allocation total area of 45,593sqm, then deduct</w:t>
      </w:r>
      <w:r w:rsidR="00730ED5">
        <w:t>ing</w:t>
      </w:r>
      <w:r w:rsidR="008634FE" w:rsidRPr="008634FE">
        <w:t xml:space="preserve"> the site (10,772sqm); conservation area (3,453sqm); TPO (578sqm); sites with permission (5,185sqm); railway exclusion area (6,329sqm); road exclusion area (3,735sqm); and Churchill Quarter (7,704sqm)</w:t>
      </w:r>
      <w:r w:rsidR="00730ED5">
        <w:t xml:space="preserve">, gives a </w:t>
      </w:r>
      <w:r w:rsidR="008634FE" w:rsidRPr="008634FE">
        <w:t>remaining area of 7,837sqm (or 0.78ha).</w:t>
      </w:r>
    </w:p>
    <w:p w14:paraId="1BF0CC7A" w14:textId="4B6A6495" w:rsidR="005F10CA" w:rsidRDefault="005F10CA" w:rsidP="00786C77">
      <w:pPr>
        <w:pStyle w:val="ListParagraph"/>
        <w:numPr>
          <w:ilvl w:val="1"/>
          <w:numId w:val="1"/>
        </w:numPr>
      </w:pPr>
      <w:r>
        <w:t xml:space="preserve">Correcting the above calculation with the correct appeal site size gives </w:t>
      </w:r>
      <w:r w:rsidR="00B07AF1">
        <w:t>a remaining area of 17,609</w:t>
      </w:r>
      <w:r w:rsidR="001871E7">
        <w:t>sqm (or 1.7ha).</w:t>
      </w:r>
      <w:r w:rsidR="00C44FD7">
        <w:t xml:space="preserve"> </w:t>
      </w:r>
      <w:r w:rsidR="001871E7">
        <w:t xml:space="preserve">This figure would mean that the </w:t>
      </w:r>
      <w:r w:rsidR="001871E7" w:rsidRPr="001871E7">
        <w:t>remaining density requirement</w:t>
      </w:r>
      <w:r w:rsidR="001871E7">
        <w:t xml:space="preserve"> to realise the remaining </w:t>
      </w:r>
      <w:r w:rsidR="00F2090B">
        <w:t>allocation quantum</w:t>
      </w:r>
      <w:r w:rsidR="00762C38">
        <w:t xml:space="preserve"> of </w:t>
      </w:r>
      <w:r w:rsidR="00C44FD7">
        <w:t xml:space="preserve">729 units </w:t>
      </w:r>
      <w:r w:rsidR="00762C38">
        <w:t>(based on the Appellant’s note)</w:t>
      </w:r>
      <w:r w:rsidR="001871E7" w:rsidRPr="001871E7">
        <w:t xml:space="preserve"> </w:t>
      </w:r>
      <w:r w:rsidR="001871E7">
        <w:t xml:space="preserve">is </w:t>
      </w:r>
      <w:r w:rsidR="001871E7" w:rsidRPr="001871E7">
        <w:t>429 dwellings per hectare (</w:t>
      </w:r>
      <w:r w:rsidR="00C44FD7">
        <w:t>which</w:t>
      </w:r>
      <w:r w:rsidR="001871E7" w:rsidRPr="001871E7">
        <w:t xml:space="preserve"> v</w:t>
      </w:r>
      <w:proofErr w:type="spellStart"/>
      <w:r w:rsidR="001871E7" w:rsidRPr="001871E7">
        <w:t>ery</w:t>
      </w:r>
      <w:proofErr w:type="spellEnd"/>
      <w:r w:rsidR="001871E7" w:rsidRPr="001871E7">
        <w:t xml:space="preserve"> close to the total average</w:t>
      </w:r>
      <w:r w:rsidR="00C44FD7">
        <w:t xml:space="preserve"> density</w:t>
      </w:r>
      <w:r w:rsidR="001871E7" w:rsidRPr="001871E7">
        <w:t xml:space="preserve"> figure</w:t>
      </w:r>
      <w:r w:rsidR="00C44FD7">
        <w:t xml:space="preserve"> for the entire site and the Council’s figure in ID22</w:t>
      </w:r>
      <w:r w:rsidR="001871E7" w:rsidRPr="001871E7">
        <w:t>).</w:t>
      </w:r>
    </w:p>
    <w:p w14:paraId="429B6AE6" w14:textId="373738E6" w:rsidR="008C3939" w:rsidRDefault="000B23C4" w:rsidP="008C3939">
      <w:pPr>
        <w:pStyle w:val="ListParagraph"/>
        <w:numPr>
          <w:ilvl w:val="0"/>
          <w:numId w:val="1"/>
        </w:numPr>
      </w:pPr>
      <w:r>
        <w:t>The Appellant’s note does not set out a total developable area</w:t>
      </w:r>
      <w:r w:rsidR="00A01149">
        <w:t xml:space="preserve"> across the entire </w:t>
      </w:r>
      <w:r w:rsidR="00605B0F">
        <w:t>allocation</w:t>
      </w:r>
      <w:r>
        <w:t xml:space="preserve">. </w:t>
      </w:r>
      <w:r w:rsidR="000754B7">
        <w:t>Without prejudice to the Council’s information set out in ID21 and ID22</w:t>
      </w:r>
      <w:r w:rsidR="00B74B1F">
        <w:t xml:space="preserve"> and above</w:t>
      </w:r>
      <w:r w:rsidR="000754B7">
        <w:t>, the Council calculate t</w:t>
      </w:r>
      <w:r w:rsidR="006C48E8">
        <w:t xml:space="preserve">he total developable area, based on the Appellant’s information </w:t>
      </w:r>
      <w:r w:rsidR="00DB49A1">
        <w:t xml:space="preserve">and </w:t>
      </w:r>
      <w:r w:rsidR="006C48E8">
        <w:t>corrected for the appeal site size error above</w:t>
      </w:r>
      <w:r w:rsidR="00DB49A1">
        <w:t xml:space="preserve">, </w:t>
      </w:r>
      <w:r w:rsidR="00F137FB">
        <w:t>to be 2.59ha, calculated as follows:</w:t>
      </w:r>
    </w:p>
    <w:p w14:paraId="7A084F3E" w14:textId="0EDB0A25" w:rsidR="00727189" w:rsidRDefault="00727189" w:rsidP="00F137FB">
      <w:pPr>
        <w:pStyle w:val="ListParagraph"/>
        <w:numPr>
          <w:ilvl w:val="1"/>
          <w:numId w:val="1"/>
        </w:numPr>
      </w:pPr>
      <w:r>
        <w:t xml:space="preserve">0.1ha from the </w:t>
      </w:r>
      <w:r w:rsidR="000B23C4" w:rsidRPr="000B23C4">
        <w:t>appeal site (correct calculation)</w:t>
      </w:r>
      <w:r>
        <w:t>; +</w:t>
      </w:r>
    </w:p>
    <w:p w14:paraId="7E5C5FDB" w14:textId="77777777" w:rsidR="00B74B1F" w:rsidRDefault="00B74B1F" w:rsidP="00F137FB">
      <w:pPr>
        <w:pStyle w:val="ListParagraph"/>
        <w:numPr>
          <w:ilvl w:val="1"/>
          <w:numId w:val="1"/>
        </w:numPr>
      </w:pPr>
      <w:r>
        <w:t xml:space="preserve">0.77ha from </w:t>
      </w:r>
      <w:r w:rsidR="000B23C4" w:rsidRPr="000B23C4">
        <w:t>Churchill Quarter</w:t>
      </w:r>
      <w:r>
        <w:t>; +</w:t>
      </w:r>
    </w:p>
    <w:p w14:paraId="5F6B2F08" w14:textId="5C8E9CBB" w:rsidR="00523CAE" w:rsidRDefault="00523CAE" w:rsidP="00F137FB">
      <w:pPr>
        <w:pStyle w:val="ListParagraph"/>
        <w:numPr>
          <w:ilvl w:val="1"/>
          <w:numId w:val="1"/>
        </w:numPr>
      </w:pPr>
      <w:r>
        <w:lastRenderedPageBreak/>
        <w:t xml:space="preserve">1.7ha from </w:t>
      </w:r>
      <w:r w:rsidR="000B23C4" w:rsidRPr="000B23C4">
        <w:t>potential development sites (</w:t>
      </w:r>
      <w:r>
        <w:t xml:space="preserve">using the </w:t>
      </w:r>
      <w:r w:rsidR="000B23C4" w:rsidRPr="000B23C4">
        <w:t xml:space="preserve">correct calculation noted </w:t>
      </w:r>
      <w:r>
        <w:t>above</w:t>
      </w:r>
      <w:r w:rsidR="000B23C4" w:rsidRPr="000B23C4">
        <w:t>)</w:t>
      </w:r>
      <w:r w:rsidR="00605B0F">
        <w:t>;</w:t>
      </w:r>
    </w:p>
    <w:p w14:paraId="44E177FF" w14:textId="77777777" w:rsidR="00523CAE" w:rsidRDefault="00523CAE" w:rsidP="00F137FB">
      <w:pPr>
        <w:pStyle w:val="ListParagraph"/>
        <w:numPr>
          <w:ilvl w:val="1"/>
          <w:numId w:val="1"/>
        </w:numPr>
      </w:pPr>
      <w:r>
        <w:t>=</w:t>
      </w:r>
      <w:r w:rsidR="000B23C4" w:rsidRPr="000B23C4">
        <w:t xml:space="preserve"> 2.57 hectares of developable area. </w:t>
      </w:r>
    </w:p>
    <w:p w14:paraId="0B903AA3" w14:textId="77777777" w:rsidR="004513F4" w:rsidRDefault="000B23C4" w:rsidP="00523CAE">
      <w:pPr>
        <w:pStyle w:val="ListParagraph"/>
        <w:numPr>
          <w:ilvl w:val="0"/>
          <w:numId w:val="1"/>
        </w:numPr>
      </w:pPr>
      <w:r w:rsidRPr="000B23C4">
        <w:t>If the sites with permissions post allocation</w:t>
      </w:r>
      <w:r w:rsidR="00F85C29">
        <w:t xml:space="preserve"> are added (based on information in Mark</w:t>
      </w:r>
      <w:r w:rsidRPr="000B23C4">
        <w:t xml:space="preserve"> Batchelor</w:t>
      </w:r>
      <w:r w:rsidR="00F85C29">
        <w:t>’</w:t>
      </w:r>
      <w:r w:rsidRPr="000B23C4">
        <w:t xml:space="preserve">s proof </w:t>
      </w:r>
      <w:r w:rsidR="00F85C29">
        <w:t>and set out in ID22)</w:t>
      </w:r>
      <w:r w:rsidRPr="000B23C4">
        <w:t xml:space="preserve">, then this would add a further 0.2ha, </w:t>
      </w:r>
      <w:r w:rsidR="00F85C29">
        <w:t>giving a total developable area of</w:t>
      </w:r>
      <w:r w:rsidRPr="000B23C4">
        <w:t xml:space="preserve"> 2.59ha. </w:t>
      </w:r>
    </w:p>
    <w:p w14:paraId="41F03C6E" w14:textId="2ADC0599" w:rsidR="00F137FB" w:rsidRDefault="00F85C29" w:rsidP="00523CAE">
      <w:pPr>
        <w:pStyle w:val="ListParagraph"/>
        <w:numPr>
          <w:ilvl w:val="0"/>
          <w:numId w:val="1"/>
        </w:numPr>
      </w:pPr>
      <w:r>
        <w:t xml:space="preserve">While this is still less than the Council’s figure of 2.89ha, which was the basis on which the allocation was </w:t>
      </w:r>
      <w:r w:rsidR="00270782">
        <w:t xml:space="preserve">found sound and </w:t>
      </w:r>
      <w:r>
        <w:t xml:space="preserve">adopted, </w:t>
      </w:r>
      <w:r w:rsidR="004513F4">
        <w:t xml:space="preserve">it is noted that a 2.59ha developable area would have resulted in a total allocation capacity of </w:t>
      </w:r>
      <w:r w:rsidR="000B23C4" w:rsidRPr="000B23C4">
        <w:t>1,103 units (426 dwellings per hectare x 2.59ha)</w:t>
      </w:r>
      <w:r w:rsidR="00864DFB">
        <w:t>.</w:t>
      </w:r>
    </w:p>
    <w:p w14:paraId="14888CAF" w14:textId="7F6501BB" w:rsidR="00FA63C1" w:rsidRPr="00AD4466" w:rsidRDefault="00FA63C1" w:rsidP="00523CAE">
      <w:pPr>
        <w:pStyle w:val="ListParagraph"/>
        <w:numPr>
          <w:ilvl w:val="0"/>
          <w:numId w:val="1"/>
        </w:numPr>
      </w:pPr>
      <w:r>
        <w:t xml:space="preserve">Notwithstanding </w:t>
      </w:r>
      <w:r w:rsidR="00B45599">
        <w:t xml:space="preserve">the points above, </w:t>
      </w:r>
      <w:r w:rsidR="00B45599" w:rsidRPr="00B45599">
        <w:t>even if the</w:t>
      </w:r>
      <w:r w:rsidR="00B45599">
        <w:t xml:space="preserve"> Appellant’s</w:t>
      </w:r>
      <w:r w:rsidR="00B45599" w:rsidRPr="00B45599">
        <w:t xml:space="preserve"> figures </w:t>
      </w:r>
      <w:r w:rsidR="00B45599">
        <w:t xml:space="preserve">were </w:t>
      </w:r>
      <w:r w:rsidR="00B45599" w:rsidRPr="00B45599">
        <w:t>accepted, the density required to realise remaining numbers</w:t>
      </w:r>
      <w:r w:rsidR="00B45599">
        <w:t xml:space="preserve"> (561 dwellings per hectare according to the Appellant’s note)</w:t>
      </w:r>
      <w:r w:rsidR="00B45599" w:rsidRPr="00B45599">
        <w:t xml:space="preserve"> is not </w:t>
      </w:r>
      <w:r w:rsidR="00B45599">
        <w:t>a particularly significant in</w:t>
      </w:r>
      <w:r w:rsidR="00F00CEF">
        <w:t xml:space="preserve">crease compared with the baseline allocation density of 426 dwellings per hectare, and is substantially </w:t>
      </w:r>
      <w:r w:rsidR="00A0451B">
        <w:t xml:space="preserve">less </w:t>
      </w:r>
      <w:r w:rsidR="00B45599" w:rsidRPr="00B45599">
        <w:t>than the density of the appeal site</w:t>
      </w:r>
      <w:r w:rsidR="003E4FB2">
        <w:t xml:space="preserve"> (922 dwellings per hectare)</w:t>
      </w:r>
      <w:r w:rsidR="00B45599" w:rsidRPr="00B45599">
        <w:t>.</w:t>
      </w:r>
      <w:r w:rsidR="003E4FB2">
        <w:t xml:space="preserve"> Even accounting for the Appellant’s comments at paragraph 11 of their note, which the Council does not accept</w:t>
      </w:r>
      <w:r w:rsidR="00752E79">
        <w:t xml:space="preserve"> as the density matrix accounts for such spaces in the calculations, these considerations </w:t>
      </w:r>
      <w:r w:rsidR="003713F7">
        <w:t>would result in very minor differences to the required densit</w:t>
      </w:r>
      <w:r w:rsidR="003713F7">
        <w:t xml:space="preserve">y, and would certainly not mean that </w:t>
      </w:r>
      <w:r w:rsidR="00A0451B">
        <w:t>densities towards 1,000 dwellings per hectare (as proposed by the Appeal site) are necessary.</w:t>
      </w:r>
    </w:p>
    <w:sectPr w:rsidR="00FA63C1" w:rsidRPr="00AD4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EFA"/>
    <w:multiLevelType w:val="hybridMultilevel"/>
    <w:tmpl w:val="389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53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89"/>
    <w:rsid w:val="00003FF8"/>
    <w:rsid w:val="000754B7"/>
    <w:rsid w:val="000B23C4"/>
    <w:rsid w:val="00107CC4"/>
    <w:rsid w:val="001542AC"/>
    <w:rsid w:val="001871E7"/>
    <w:rsid w:val="002253D4"/>
    <w:rsid w:val="00240A2F"/>
    <w:rsid w:val="00270782"/>
    <w:rsid w:val="003713F7"/>
    <w:rsid w:val="0039140B"/>
    <w:rsid w:val="003E1FEA"/>
    <w:rsid w:val="003E4FB2"/>
    <w:rsid w:val="004235F4"/>
    <w:rsid w:val="004513F4"/>
    <w:rsid w:val="004F5DF7"/>
    <w:rsid w:val="00523CAE"/>
    <w:rsid w:val="005F10CA"/>
    <w:rsid w:val="00605B0F"/>
    <w:rsid w:val="00645D89"/>
    <w:rsid w:val="006759FC"/>
    <w:rsid w:val="00685550"/>
    <w:rsid w:val="006C48E8"/>
    <w:rsid w:val="00727189"/>
    <w:rsid w:val="00730ED5"/>
    <w:rsid w:val="007507D1"/>
    <w:rsid w:val="00752E79"/>
    <w:rsid w:val="00762C38"/>
    <w:rsid w:val="00764A87"/>
    <w:rsid w:val="00775D18"/>
    <w:rsid w:val="00786C77"/>
    <w:rsid w:val="008113DB"/>
    <w:rsid w:val="0086205F"/>
    <w:rsid w:val="008634FE"/>
    <w:rsid w:val="00864DFB"/>
    <w:rsid w:val="008A4D57"/>
    <w:rsid w:val="008C3939"/>
    <w:rsid w:val="0092288F"/>
    <w:rsid w:val="009A1A83"/>
    <w:rsid w:val="009D08F0"/>
    <w:rsid w:val="00A01149"/>
    <w:rsid w:val="00A0451B"/>
    <w:rsid w:val="00AC66CF"/>
    <w:rsid w:val="00AD4466"/>
    <w:rsid w:val="00B07AF1"/>
    <w:rsid w:val="00B37A7D"/>
    <w:rsid w:val="00B45599"/>
    <w:rsid w:val="00B74B1F"/>
    <w:rsid w:val="00C05743"/>
    <w:rsid w:val="00C26807"/>
    <w:rsid w:val="00C44FD7"/>
    <w:rsid w:val="00DB49A1"/>
    <w:rsid w:val="00EB36A4"/>
    <w:rsid w:val="00EE0192"/>
    <w:rsid w:val="00F00CEF"/>
    <w:rsid w:val="00F137FB"/>
    <w:rsid w:val="00F2090B"/>
    <w:rsid w:val="00F85C29"/>
    <w:rsid w:val="00FA63C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0293"/>
  <w15:chartTrackingRefBased/>
  <w15:docId w15:val="{396F5A8B-1A24-42E2-A623-3A95AB6B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5F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4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35F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Ben</dc:creator>
  <cp:keywords/>
  <dc:description/>
  <cp:lastModifiedBy>Johnson, Ben</cp:lastModifiedBy>
  <cp:revision>56</cp:revision>
  <dcterms:created xsi:type="dcterms:W3CDTF">2024-07-24T10:49:00Z</dcterms:created>
  <dcterms:modified xsi:type="dcterms:W3CDTF">2024-07-24T11:33:00Z</dcterms:modified>
</cp:coreProperties>
</file>