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D0BD5C" w14:textId="77777777" w:rsidR="006800B7" w:rsidRPr="00DD35BD" w:rsidRDefault="006800B7" w:rsidP="006800B7">
      <w:pPr>
        <w:jc w:val="center"/>
        <w:rPr>
          <w:rFonts w:ascii="Times New Roman" w:hAnsi="Times New Roman" w:cs="Times New Roman"/>
          <w:b/>
          <w:bCs/>
          <w:u w:val="single"/>
        </w:rPr>
      </w:pPr>
      <w:r w:rsidRPr="00DD35BD">
        <w:rPr>
          <w:rFonts w:ascii="Times New Roman" w:hAnsi="Times New Roman" w:cs="Times New Roman"/>
          <w:b/>
          <w:bCs/>
          <w:u w:val="single"/>
        </w:rPr>
        <w:t>Re: 2-4 Ringers Road and 5 Ethelbert Road, BR1 1HT</w:t>
      </w:r>
    </w:p>
    <w:p w14:paraId="29FD6B0F" w14:textId="77777777" w:rsidR="006800B7" w:rsidRPr="00DD35BD" w:rsidRDefault="006800B7" w:rsidP="006800B7">
      <w:pPr>
        <w:jc w:val="center"/>
        <w:rPr>
          <w:rFonts w:ascii="Times New Roman" w:hAnsi="Times New Roman" w:cs="Times New Roman"/>
        </w:rPr>
      </w:pPr>
    </w:p>
    <w:p w14:paraId="7A00E301" w14:textId="77777777" w:rsidR="006800B7" w:rsidRPr="00DD35BD" w:rsidRDefault="006800B7" w:rsidP="006800B7">
      <w:pPr>
        <w:jc w:val="center"/>
        <w:rPr>
          <w:rFonts w:ascii="Times New Roman" w:hAnsi="Times New Roman" w:cs="Times New Roman"/>
        </w:rPr>
      </w:pPr>
    </w:p>
    <w:p w14:paraId="0F11A549" w14:textId="77777777" w:rsidR="006800B7" w:rsidRPr="00DD35BD" w:rsidRDefault="006800B7" w:rsidP="006800B7">
      <w:pPr>
        <w:jc w:val="center"/>
        <w:rPr>
          <w:rFonts w:ascii="Times New Roman" w:hAnsi="Times New Roman" w:cs="Times New Roman"/>
        </w:rPr>
      </w:pPr>
      <w:r w:rsidRPr="00DD35BD">
        <w:rPr>
          <w:rFonts w:ascii="Times New Roman" w:hAnsi="Times New Roman" w:cs="Times New Roman"/>
        </w:rPr>
        <w:t>PINS Ref: APP/G5180/W/24/3340223</w:t>
      </w:r>
    </w:p>
    <w:p w14:paraId="32FEA82E" w14:textId="77777777" w:rsidR="006800B7" w:rsidRPr="00DD35BD" w:rsidRDefault="006800B7" w:rsidP="006800B7">
      <w:pPr>
        <w:jc w:val="center"/>
        <w:rPr>
          <w:rFonts w:ascii="Times New Roman" w:hAnsi="Times New Roman" w:cs="Times New Roman"/>
        </w:rPr>
      </w:pPr>
    </w:p>
    <w:p w14:paraId="6E86AB33" w14:textId="77777777" w:rsidR="006800B7" w:rsidRPr="00DD35BD" w:rsidRDefault="006800B7" w:rsidP="006800B7">
      <w:pPr>
        <w:jc w:val="center"/>
        <w:rPr>
          <w:rFonts w:ascii="Times New Roman" w:hAnsi="Times New Roman" w:cs="Times New Roman"/>
        </w:rPr>
      </w:pPr>
      <w:r w:rsidRPr="00DD35BD">
        <w:rPr>
          <w:rFonts w:ascii="Times New Roman" w:hAnsi="Times New Roman" w:cs="Times New Roman"/>
        </w:rPr>
        <w:t xml:space="preserve">LPA Ref: DC/21/05585/FULL1 </w:t>
      </w:r>
    </w:p>
    <w:p w14:paraId="3F62B019" w14:textId="77777777" w:rsidR="006800B7" w:rsidRPr="00DD35BD" w:rsidRDefault="006800B7" w:rsidP="006800B7">
      <w:pPr>
        <w:jc w:val="center"/>
        <w:rPr>
          <w:rFonts w:ascii="Times New Roman" w:hAnsi="Times New Roman" w:cs="Times New Roman"/>
        </w:rPr>
      </w:pPr>
    </w:p>
    <w:p w14:paraId="480A9090" w14:textId="77777777" w:rsidR="006800B7" w:rsidRPr="00DD35BD" w:rsidRDefault="006800B7" w:rsidP="006800B7">
      <w:pPr>
        <w:jc w:val="center"/>
        <w:rPr>
          <w:rFonts w:ascii="Times New Roman" w:hAnsi="Times New Roman" w:cs="Times New Roman"/>
        </w:rPr>
      </w:pPr>
    </w:p>
    <w:p w14:paraId="5858CA37" w14:textId="77777777" w:rsidR="006800B7" w:rsidRPr="00DD35BD" w:rsidRDefault="006800B7" w:rsidP="006800B7">
      <w:pPr>
        <w:jc w:val="center"/>
        <w:rPr>
          <w:rFonts w:ascii="Times New Roman" w:hAnsi="Times New Roman" w:cs="Times New Roman"/>
        </w:rPr>
      </w:pPr>
      <w:r w:rsidRPr="00DD35BD">
        <w:rPr>
          <w:rFonts w:ascii="Times New Roman" w:hAnsi="Times New Roman" w:cs="Times New Roman"/>
        </w:rPr>
        <w:t>______________________</w:t>
      </w:r>
    </w:p>
    <w:p w14:paraId="61527B04" w14:textId="77777777" w:rsidR="006800B7" w:rsidRPr="00DD35BD" w:rsidRDefault="006800B7" w:rsidP="006800B7">
      <w:pPr>
        <w:jc w:val="center"/>
        <w:rPr>
          <w:rFonts w:ascii="Times New Roman" w:hAnsi="Times New Roman" w:cs="Times New Roman"/>
        </w:rPr>
      </w:pPr>
    </w:p>
    <w:p w14:paraId="34463CE5" w14:textId="74A7B3B0" w:rsidR="006800B7" w:rsidRPr="00DD35BD" w:rsidRDefault="006E0751" w:rsidP="006800B7">
      <w:pPr>
        <w:jc w:val="center"/>
        <w:rPr>
          <w:rFonts w:ascii="Times New Roman" w:hAnsi="Times New Roman" w:cs="Times New Roman"/>
          <w:color w:val="FF0000"/>
        </w:rPr>
      </w:pPr>
      <w:r w:rsidRPr="00DD35BD">
        <w:rPr>
          <w:rFonts w:ascii="Times New Roman" w:hAnsi="Times New Roman" w:cs="Times New Roman"/>
        </w:rPr>
        <w:t>Closing</w:t>
      </w:r>
      <w:r w:rsidR="006800B7" w:rsidRPr="00DD35BD">
        <w:rPr>
          <w:rFonts w:ascii="Times New Roman" w:hAnsi="Times New Roman" w:cs="Times New Roman"/>
        </w:rPr>
        <w:t xml:space="preserve"> for the Council </w:t>
      </w:r>
    </w:p>
    <w:p w14:paraId="059ADB03" w14:textId="77777777" w:rsidR="006800B7" w:rsidRPr="00DD35BD" w:rsidRDefault="006800B7" w:rsidP="006800B7">
      <w:pPr>
        <w:jc w:val="center"/>
        <w:rPr>
          <w:rFonts w:ascii="Times New Roman" w:hAnsi="Times New Roman" w:cs="Times New Roman"/>
        </w:rPr>
      </w:pPr>
      <w:r w:rsidRPr="00DD35BD">
        <w:rPr>
          <w:rFonts w:ascii="Times New Roman" w:hAnsi="Times New Roman" w:cs="Times New Roman"/>
        </w:rPr>
        <w:t>________________________</w:t>
      </w:r>
    </w:p>
    <w:p w14:paraId="3B73907B" w14:textId="77777777" w:rsidR="00236C31" w:rsidRPr="00FB549E" w:rsidRDefault="00236C31" w:rsidP="00FB549E">
      <w:pPr>
        <w:spacing w:line="360" w:lineRule="auto"/>
        <w:jc w:val="both"/>
        <w:rPr>
          <w:rFonts w:ascii="Times New Roman" w:hAnsi="Times New Roman" w:cs="Times New Roman"/>
        </w:rPr>
      </w:pPr>
    </w:p>
    <w:p w14:paraId="6FA34969" w14:textId="663F7D1F" w:rsidR="009D59BC" w:rsidRDefault="009D59BC" w:rsidP="000609E9">
      <w:pPr>
        <w:pStyle w:val="ListParagraph"/>
        <w:numPr>
          <w:ilvl w:val="0"/>
          <w:numId w:val="5"/>
        </w:numPr>
        <w:spacing w:line="360" w:lineRule="auto"/>
        <w:jc w:val="both"/>
        <w:rPr>
          <w:rFonts w:ascii="Times New Roman" w:hAnsi="Times New Roman" w:cs="Times New Roman"/>
        </w:rPr>
      </w:pPr>
      <w:r w:rsidRPr="00DD35BD">
        <w:rPr>
          <w:rFonts w:ascii="Times New Roman" w:hAnsi="Times New Roman" w:cs="Times New Roman"/>
        </w:rPr>
        <w:t>This is the Closing Statement for the London Borough of Bromley.</w:t>
      </w:r>
    </w:p>
    <w:p w14:paraId="0C9A8710" w14:textId="77777777" w:rsidR="00E51D4F" w:rsidRPr="00E51D4F" w:rsidRDefault="00E51D4F" w:rsidP="000609E9">
      <w:pPr>
        <w:spacing w:line="360" w:lineRule="auto"/>
        <w:jc w:val="both"/>
        <w:rPr>
          <w:rFonts w:ascii="Times New Roman" w:hAnsi="Times New Roman" w:cs="Times New Roman"/>
        </w:rPr>
      </w:pPr>
    </w:p>
    <w:p w14:paraId="216748D9" w14:textId="4035EEDE" w:rsidR="008253DF" w:rsidRPr="008E3BA6" w:rsidRDefault="008E3BA6" w:rsidP="000609E9">
      <w:pPr>
        <w:spacing w:line="360" w:lineRule="auto"/>
        <w:jc w:val="both"/>
        <w:rPr>
          <w:rFonts w:ascii="Times New Roman" w:hAnsi="Times New Roman" w:cs="Times New Roman"/>
          <w:b/>
          <w:bCs/>
          <w:u w:val="single"/>
        </w:rPr>
      </w:pPr>
      <w:r>
        <w:rPr>
          <w:rFonts w:ascii="Times New Roman" w:hAnsi="Times New Roman" w:cs="Times New Roman"/>
          <w:b/>
          <w:bCs/>
          <w:u w:val="single"/>
        </w:rPr>
        <w:t xml:space="preserve">The </w:t>
      </w:r>
      <w:r w:rsidR="004C0069" w:rsidRPr="008E3BA6">
        <w:rPr>
          <w:rFonts w:ascii="Times New Roman" w:hAnsi="Times New Roman" w:cs="Times New Roman"/>
          <w:b/>
          <w:bCs/>
          <w:u w:val="single"/>
        </w:rPr>
        <w:t>Development Plan</w:t>
      </w:r>
    </w:p>
    <w:p w14:paraId="35FA8E21" w14:textId="77777777" w:rsidR="008253DF" w:rsidRPr="008253DF" w:rsidRDefault="008253DF" w:rsidP="000609E9">
      <w:pPr>
        <w:spacing w:line="360" w:lineRule="auto"/>
        <w:jc w:val="both"/>
        <w:rPr>
          <w:rFonts w:ascii="Times New Roman" w:hAnsi="Times New Roman" w:cs="Times New Roman"/>
          <w:u w:val="single"/>
        </w:rPr>
      </w:pPr>
    </w:p>
    <w:p w14:paraId="66D3773B" w14:textId="3A92542A" w:rsidR="00840070" w:rsidRDefault="008A090A" w:rsidP="000609E9">
      <w:pPr>
        <w:pStyle w:val="ListParagraph"/>
        <w:numPr>
          <w:ilvl w:val="0"/>
          <w:numId w:val="5"/>
        </w:numPr>
        <w:spacing w:line="360" w:lineRule="auto"/>
        <w:jc w:val="both"/>
        <w:rPr>
          <w:rFonts w:ascii="Times New Roman" w:hAnsi="Times New Roman" w:cs="Times New Roman"/>
        </w:rPr>
      </w:pPr>
      <w:r>
        <w:rPr>
          <w:rFonts w:ascii="Times New Roman" w:hAnsi="Times New Roman" w:cs="Times New Roman"/>
        </w:rPr>
        <w:t xml:space="preserve">The development plan comprises the </w:t>
      </w:r>
      <w:r w:rsidR="00840070">
        <w:rPr>
          <w:rFonts w:ascii="Times New Roman" w:hAnsi="Times New Roman" w:cs="Times New Roman"/>
        </w:rPr>
        <w:t xml:space="preserve">London Plan 2021, </w:t>
      </w:r>
      <w:r>
        <w:rPr>
          <w:rFonts w:ascii="Times New Roman" w:hAnsi="Times New Roman" w:cs="Times New Roman"/>
        </w:rPr>
        <w:t xml:space="preserve">the </w:t>
      </w:r>
      <w:r w:rsidR="00840070">
        <w:rPr>
          <w:rFonts w:ascii="Times New Roman" w:hAnsi="Times New Roman" w:cs="Times New Roman"/>
        </w:rPr>
        <w:t xml:space="preserve">Bromley Local Plan 2019, and </w:t>
      </w:r>
      <w:r>
        <w:rPr>
          <w:rFonts w:ascii="Times New Roman" w:hAnsi="Times New Roman" w:cs="Times New Roman"/>
        </w:rPr>
        <w:t>B</w:t>
      </w:r>
      <w:r w:rsidR="00887965">
        <w:rPr>
          <w:rFonts w:ascii="Times New Roman" w:hAnsi="Times New Roman" w:cs="Times New Roman"/>
        </w:rPr>
        <w:t>romley Town Centre Area Action Plan (B</w:t>
      </w:r>
      <w:r>
        <w:rPr>
          <w:rFonts w:ascii="Times New Roman" w:hAnsi="Times New Roman" w:cs="Times New Roman"/>
        </w:rPr>
        <w:t>TCAA</w:t>
      </w:r>
      <w:r w:rsidR="00887965">
        <w:rPr>
          <w:rFonts w:ascii="Times New Roman" w:hAnsi="Times New Roman" w:cs="Times New Roman"/>
        </w:rPr>
        <w:t>P)</w:t>
      </w:r>
      <w:r>
        <w:rPr>
          <w:rFonts w:ascii="Times New Roman" w:hAnsi="Times New Roman" w:cs="Times New Roman"/>
        </w:rPr>
        <w:t xml:space="preserve"> </w:t>
      </w:r>
      <w:r w:rsidR="00840070">
        <w:rPr>
          <w:rFonts w:ascii="Times New Roman" w:hAnsi="Times New Roman" w:cs="Times New Roman"/>
        </w:rPr>
        <w:t>2010</w:t>
      </w:r>
      <w:r>
        <w:rPr>
          <w:rFonts w:ascii="Times New Roman" w:hAnsi="Times New Roman" w:cs="Times New Roman"/>
        </w:rPr>
        <w:t>. It is the Council’s contention that</w:t>
      </w:r>
      <w:r w:rsidR="00840070">
        <w:rPr>
          <w:rFonts w:ascii="Times New Roman" w:hAnsi="Times New Roman" w:cs="Times New Roman"/>
        </w:rPr>
        <w:t xml:space="preserve"> no weight </w:t>
      </w:r>
      <w:r>
        <w:rPr>
          <w:rFonts w:ascii="Times New Roman" w:hAnsi="Times New Roman" w:cs="Times New Roman"/>
        </w:rPr>
        <w:t xml:space="preserve">should be given to </w:t>
      </w:r>
      <w:r w:rsidR="00F531DC">
        <w:rPr>
          <w:rFonts w:ascii="Times New Roman" w:hAnsi="Times New Roman" w:cs="Times New Roman"/>
        </w:rPr>
        <w:t xml:space="preserve">the </w:t>
      </w:r>
      <w:r w:rsidR="004772E4">
        <w:rPr>
          <w:rFonts w:ascii="Times New Roman" w:hAnsi="Times New Roman" w:cs="Times New Roman"/>
        </w:rPr>
        <w:t>BTCAAP</w:t>
      </w:r>
      <w:r>
        <w:rPr>
          <w:rFonts w:ascii="Times New Roman" w:hAnsi="Times New Roman" w:cs="Times New Roman"/>
        </w:rPr>
        <w:t xml:space="preserve"> for the following reasons:</w:t>
      </w:r>
    </w:p>
    <w:p w14:paraId="520D3DF7" w14:textId="5AFCFBBC" w:rsidR="00840070" w:rsidRDefault="008A090A" w:rsidP="000609E9">
      <w:pPr>
        <w:pStyle w:val="ListParagraph"/>
        <w:numPr>
          <w:ilvl w:val="1"/>
          <w:numId w:val="5"/>
        </w:numPr>
        <w:spacing w:line="360" w:lineRule="auto"/>
        <w:jc w:val="both"/>
        <w:rPr>
          <w:rFonts w:ascii="Times New Roman" w:hAnsi="Times New Roman" w:cs="Times New Roman"/>
        </w:rPr>
      </w:pPr>
      <w:r>
        <w:rPr>
          <w:rFonts w:ascii="Times New Roman" w:hAnsi="Times New Roman" w:cs="Times New Roman"/>
        </w:rPr>
        <w:t>It p</w:t>
      </w:r>
      <w:r w:rsidR="00840070">
        <w:rPr>
          <w:rFonts w:ascii="Times New Roman" w:hAnsi="Times New Roman" w:cs="Times New Roman"/>
        </w:rPr>
        <w:t xml:space="preserve">redates </w:t>
      </w:r>
      <w:r>
        <w:rPr>
          <w:rFonts w:ascii="Times New Roman" w:hAnsi="Times New Roman" w:cs="Times New Roman"/>
        </w:rPr>
        <w:t>L</w:t>
      </w:r>
      <w:r w:rsidR="00840070">
        <w:rPr>
          <w:rFonts w:ascii="Times New Roman" w:hAnsi="Times New Roman" w:cs="Times New Roman"/>
        </w:rPr>
        <w:t xml:space="preserve">ocal </w:t>
      </w:r>
      <w:r>
        <w:rPr>
          <w:rFonts w:ascii="Times New Roman" w:hAnsi="Times New Roman" w:cs="Times New Roman"/>
        </w:rPr>
        <w:t>P</w:t>
      </w:r>
      <w:r w:rsidR="00840070">
        <w:rPr>
          <w:rFonts w:ascii="Times New Roman" w:hAnsi="Times New Roman" w:cs="Times New Roman"/>
        </w:rPr>
        <w:t>lan and</w:t>
      </w:r>
      <w:r>
        <w:rPr>
          <w:rFonts w:ascii="Times New Roman" w:hAnsi="Times New Roman" w:cs="Times New Roman"/>
        </w:rPr>
        <w:t xml:space="preserve"> the</w:t>
      </w:r>
      <w:r w:rsidR="00840070">
        <w:rPr>
          <w:rFonts w:ascii="Times New Roman" w:hAnsi="Times New Roman" w:cs="Times New Roman"/>
        </w:rPr>
        <w:t xml:space="preserve"> London Plan</w:t>
      </w:r>
      <w:r>
        <w:rPr>
          <w:rFonts w:ascii="Times New Roman" w:hAnsi="Times New Roman" w:cs="Times New Roman"/>
        </w:rPr>
        <w:t>,</w:t>
      </w:r>
    </w:p>
    <w:p w14:paraId="3DDF6819" w14:textId="0139C863" w:rsidR="00840070" w:rsidRDefault="00840070" w:rsidP="000609E9">
      <w:pPr>
        <w:pStyle w:val="ListParagraph"/>
        <w:numPr>
          <w:ilvl w:val="1"/>
          <w:numId w:val="5"/>
        </w:numPr>
        <w:spacing w:line="360" w:lineRule="auto"/>
        <w:jc w:val="both"/>
        <w:rPr>
          <w:rFonts w:ascii="Times New Roman" w:hAnsi="Times New Roman" w:cs="Times New Roman"/>
        </w:rPr>
      </w:pPr>
      <w:r>
        <w:rPr>
          <w:rFonts w:ascii="Times New Roman" w:hAnsi="Times New Roman" w:cs="Times New Roman"/>
        </w:rPr>
        <w:t>It</w:t>
      </w:r>
      <w:r w:rsidR="00E2018A">
        <w:rPr>
          <w:rFonts w:ascii="Times New Roman" w:hAnsi="Times New Roman" w:cs="Times New Roman"/>
        </w:rPr>
        <w:t xml:space="preserve"> is set to expire</w:t>
      </w:r>
      <w:r>
        <w:rPr>
          <w:rFonts w:ascii="Times New Roman" w:hAnsi="Times New Roman" w:cs="Times New Roman"/>
        </w:rPr>
        <w:t xml:space="preserve"> next year,</w:t>
      </w:r>
      <w:r w:rsidR="002B774B">
        <w:rPr>
          <w:rFonts w:ascii="Times New Roman" w:hAnsi="Times New Roman" w:cs="Times New Roman"/>
        </w:rPr>
        <w:t xml:space="preserve"> and</w:t>
      </w:r>
    </w:p>
    <w:p w14:paraId="0A5BE635" w14:textId="0EDC268E" w:rsidR="00840070" w:rsidRPr="004772E4" w:rsidRDefault="008A090A" w:rsidP="000609E9">
      <w:pPr>
        <w:pStyle w:val="ListParagraph"/>
        <w:numPr>
          <w:ilvl w:val="1"/>
          <w:numId w:val="5"/>
        </w:numPr>
        <w:spacing w:line="360" w:lineRule="auto"/>
        <w:jc w:val="both"/>
        <w:rPr>
          <w:rFonts w:ascii="Times New Roman" w:hAnsi="Times New Roman" w:cs="Times New Roman"/>
        </w:rPr>
      </w:pPr>
      <w:r>
        <w:rPr>
          <w:rFonts w:ascii="Times New Roman" w:hAnsi="Times New Roman" w:cs="Times New Roman"/>
        </w:rPr>
        <w:t xml:space="preserve">The Council </w:t>
      </w:r>
      <w:r w:rsidR="004772E4">
        <w:rPr>
          <w:rFonts w:ascii="Times New Roman" w:hAnsi="Times New Roman" w:cs="Times New Roman"/>
        </w:rPr>
        <w:t>wrote</w:t>
      </w:r>
      <w:r w:rsidR="00840070">
        <w:rPr>
          <w:rFonts w:ascii="Times New Roman" w:hAnsi="Times New Roman" w:cs="Times New Roman"/>
        </w:rPr>
        <w:t xml:space="preserve"> to </w:t>
      </w:r>
      <w:r w:rsidR="00F531DC">
        <w:rPr>
          <w:rFonts w:ascii="Times New Roman" w:hAnsi="Times New Roman" w:cs="Times New Roman"/>
        </w:rPr>
        <w:t>M</w:t>
      </w:r>
      <w:r>
        <w:rPr>
          <w:rFonts w:ascii="Times New Roman" w:hAnsi="Times New Roman" w:cs="Times New Roman"/>
        </w:rPr>
        <w:t>HLG</w:t>
      </w:r>
      <w:r w:rsidR="00840070">
        <w:rPr>
          <w:rFonts w:ascii="Times New Roman" w:hAnsi="Times New Roman" w:cs="Times New Roman"/>
        </w:rPr>
        <w:t xml:space="preserve"> </w:t>
      </w:r>
      <w:r w:rsidR="00BB1A33">
        <w:rPr>
          <w:rFonts w:ascii="Times New Roman" w:hAnsi="Times New Roman" w:cs="Times New Roman"/>
        </w:rPr>
        <w:t xml:space="preserve">in November 2023 </w:t>
      </w:r>
      <w:r w:rsidR="00840070">
        <w:rPr>
          <w:rFonts w:ascii="Times New Roman" w:hAnsi="Times New Roman" w:cs="Times New Roman"/>
        </w:rPr>
        <w:t>to ask for it to be revoked under s.25 P</w:t>
      </w:r>
      <w:r w:rsidR="004772E4">
        <w:rPr>
          <w:rFonts w:ascii="Times New Roman" w:hAnsi="Times New Roman" w:cs="Times New Roman"/>
        </w:rPr>
        <w:t>lanning and Compulsory Purchase Act 2004</w:t>
      </w:r>
      <w:r w:rsidR="00840070">
        <w:rPr>
          <w:rFonts w:ascii="Times New Roman" w:hAnsi="Times New Roman" w:cs="Times New Roman"/>
        </w:rPr>
        <w:t xml:space="preserve"> </w:t>
      </w:r>
      <w:r w:rsidR="004772E4">
        <w:rPr>
          <w:rFonts w:ascii="Times New Roman" w:hAnsi="Times New Roman" w:cs="Times New Roman"/>
        </w:rPr>
        <w:t>in</w:t>
      </w:r>
      <w:r w:rsidR="004772E4" w:rsidRPr="004772E4">
        <w:rPr>
          <w:rFonts w:ascii="Times New Roman" w:hAnsi="Times New Roman" w:cs="Times New Roman"/>
        </w:rPr>
        <w:t xml:space="preserve"> 2023</w:t>
      </w:r>
      <w:r w:rsidR="00F531DC" w:rsidRPr="004772E4">
        <w:rPr>
          <w:rStyle w:val="FootnoteReference"/>
          <w:rFonts w:ascii="Times New Roman" w:hAnsi="Times New Roman" w:cs="Times New Roman"/>
        </w:rPr>
        <w:footnoteReference w:id="1"/>
      </w:r>
      <w:r w:rsidR="008033DF" w:rsidRPr="004772E4">
        <w:rPr>
          <w:rFonts w:ascii="Times New Roman" w:hAnsi="Times New Roman" w:cs="Times New Roman"/>
        </w:rPr>
        <w:t>,</w:t>
      </w:r>
    </w:p>
    <w:p w14:paraId="355E6E75" w14:textId="77777777" w:rsidR="00FB5BEA" w:rsidRDefault="00887965" w:rsidP="00755B5F">
      <w:pPr>
        <w:spacing w:line="360" w:lineRule="auto"/>
        <w:ind w:left="720"/>
        <w:jc w:val="both"/>
        <w:rPr>
          <w:rFonts w:ascii="Times New Roman" w:hAnsi="Times New Roman" w:cs="Times New Roman"/>
        </w:rPr>
      </w:pPr>
      <w:r>
        <w:rPr>
          <w:rFonts w:ascii="Times New Roman" w:hAnsi="Times New Roman" w:cs="Times New Roman"/>
        </w:rPr>
        <w:t xml:space="preserve">Amanda Reynolds </w:t>
      </w:r>
      <w:r w:rsidR="00FE41C2">
        <w:rPr>
          <w:rFonts w:ascii="Times New Roman" w:hAnsi="Times New Roman" w:cs="Times New Roman"/>
        </w:rPr>
        <w:t xml:space="preserve">also stated during </w:t>
      </w:r>
      <w:r w:rsidR="00F531DC">
        <w:rPr>
          <w:rFonts w:ascii="Times New Roman" w:hAnsi="Times New Roman" w:cs="Times New Roman"/>
        </w:rPr>
        <w:t xml:space="preserve">the </w:t>
      </w:r>
      <w:r w:rsidR="004772E4">
        <w:rPr>
          <w:rFonts w:ascii="Times New Roman" w:hAnsi="Times New Roman" w:cs="Times New Roman"/>
        </w:rPr>
        <w:t>R</w:t>
      </w:r>
      <w:r w:rsidR="00F531DC">
        <w:rPr>
          <w:rFonts w:ascii="Times New Roman" w:hAnsi="Times New Roman" w:cs="Times New Roman"/>
        </w:rPr>
        <w:t>oundtable session</w:t>
      </w:r>
      <w:r w:rsidR="00F531DC">
        <w:rPr>
          <w:rStyle w:val="FootnoteReference"/>
          <w:rFonts w:ascii="Times New Roman" w:hAnsi="Times New Roman" w:cs="Times New Roman"/>
        </w:rPr>
        <w:footnoteReference w:id="2"/>
      </w:r>
      <w:r>
        <w:rPr>
          <w:rFonts w:ascii="Times New Roman" w:hAnsi="Times New Roman" w:cs="Times New Roman"/>
        </w:rPr>
        <w:t xml:space="preserve"> that the BTCAAP</w:t>
      </w:r>
      <w:r w:rsidRPr="00887965">
        <w:rPr>
          <w:rFonts w:ascii="Times New Roman" w:hAnsi="Times New Roman" w:cs="Times New Roman"/>
        </w:rPr>
        <w:t xml:space="preserve"> should have no weight</w:t>
      </w:r>
      <w:r>
        <w:rPr>
          <w:rFonts w:ascii="Times New Roman" w:hAnsi="Times New Roman" w:cs="Times New Roman"/>
        </w:rPr>
        <w:t xml:space="preserve">, explaining that </w:t>
      </w:r>
      <w:r w:rsidR="00857B9F">
        <w:rPr>
          <w:rFonts w:ascii="Times New Roman" w:hAnsi="Times New Roman" w:cs="Times New Roman"/>
        </w:rPr>
        <w:t xml:space="preserve">the </w:t>
      </w:r>
      <w:r w:rsidRPr="00887965">
        <w:rPr>
          <w:rFonts w:ascii="Times New Roman" w:hAnsi="Times New Roman" w:cs="Times New Roman"/>
        </w:rPr>
        <w:t>“</w:t>
      </w:r>
      <w:r w:rsidRPr="00F531DC">
        <w:rPr>
          <w:rFonts w:ascii="Times New Roman" w:hAnsi="Times New Roman" w:cs="Times New Roman"/>
          <w:i/>
          <w:iCs/>
        </w:rPr>
        <w:t>dots for tall buildings were all in the wrong place</w:t>
      </w:r>
      <w:r w:rsidRPr="00887965">
        <w:rPr>
          <w:rFonts w:ascii="Times New Roman" w:hAnsi="Times New Roman" w:cs="Times New Roman"/>
        </w:rPr>
        <w:t>”</w:t>
      </w:r>
      <w:r>
        <w:rPr>
          <w:rFonts w:ascii="Times New Roman" w:hAnsi="Times New Roman" w:cs="Times New Roman"/>
        </w:rPr>
        <w:t xml:space="preserve">, and that the </w:t>
      </w:r>
      <w:r w:rsidR="001F7355">
        <w:rPr>
          <w:rFonts w:ascii="Times New Roman" w:hAnsi="Times New Roman" w:cs="Times New Roman"/>
        </w:rPr>
        <w:t>plan</w:t>
      </w:r>
      <w:r w:rsidRPr="00887965">
        <w:rPr>
          <w:rFonts w:ascii="Times New Roman" w:hAnsi="Times New Roman" w:cs="Times New Roman"/>
        </w:rPr>
        <w:t xml:space="preserve"> was </w:t>
      </w:r>
      <w:r w:rsidR="00857B9F">
        <w:rPr>
          <w:rFonts w:ascii="Times New Roman" w:hAnsi="Times New Roman" w:cs="Times New Roman"/>
        </w:rPr>
        <w:t>“</w:t>
      </w:r>
      <w:r w:rsidRPr="00857B9F">
        <w:rPr>
          <w:rFonts w:ascii="Times New Roman" w:hAnsi="Times New Roman" w:cs="Times New Roman"/>
          <w:i/>
          <w:iCs/>
        </w:rPr>
        <w:t>always a flawed document</w:t>
      </w:r>
      <w:r w:rsidR="00857B9F">
        <w:rPr>
          <w:rFonts w:ascii="Times New Roman" w:hAnsi="Times New Roman" w:cs="Times New Roman"/>
        </w:rPr>
        <w:t>”</w:t>
      </w:r>
      <w:r w:rsidRPr="00887965">
        <w:rPr>
          <w:rFonts w:ascii="Times New Roman" w:hAnsi="Times New Roman" w:cs="Times New Roman"/>
        </w:rPr>
        <w:t>.</w:t>
      </w:r>
      <w:r w:rsidR="00D7113E">
        <w:rPr>
          <w:rFonts w:ascii="Times New Roman" w:hAnsi="Times New Roman" w:cs="Times New Roman"/>
        </w:rPr>
        <w:t xml:space="preserve"> </w:t>
      </w:r>
    </w:p>
    <w:p w14:paraId="27253D9C" w14:textId="5906E754" w:rsidR="00AA19C5" w:rsidRDefault="00655F76" w:rsidP="00755B5F">
      <w:pPr>
        <w:spacing w:line="360" w:lineRule="auto"/>
        <w:ind w:left="720"/>
        <w:jc w:val="both"/>
        <w:rPr>
          <w:rFonts w:ascii="Times New Roman" w:hAnsi="Times New Roman" w:cs="Times New Roman"/>
        </w:rPr>
      </w:pPr>
      <w:r>
        <w:rPr>
          <w:rFonts w:ascii="Times New Roman" w:hAnsi="Times New Roman" w:cs="Times New Roman"/>
        </w:rPr>
        <w:t xml:space="preserve">When there is a shortfall of HLS </w:t>
      </w:r>
      <w:r w:rsidR="00C6713A">
        <w:rPr>
          <w:rFonts w:ascii="Times New Roman" w:hAnsi="Times New Roman" w:cs="Times New Roman"/>
        </w:rPr>
        <w:t>the policies in the development plan may be deemed out of date. However it is worth noting that the</w:t>
      </w:r>
      <w:r w:rsidR="00D7113E">
        <w:rPr>
          <w:rFonts w:ascii="Times New Roman" w:hAnsi="Times New Roman" w:cs="Times New Roman"/>
        </w:rPr>
        <w:t xml:space="preserve"> Inspector in the </w:t>
      </w:r>
      <w:r w:rsidR="00991262">
        <w:rPr>
          <w:rFonts w:ascii="Times New Roman" w:hAnsi="Times New Roman" w:cs="Times New Roman"/>
        </w:rPr>
        <w:t>Worsley</w:t>
      </w:r>
      <w:r w:rsidR="00D7113E">
        <w:rPr>
          <w:rFonts w:ascii="Times New Roman" w:hAnsi="Times New Roman" w:cs="Times New Roman"/>
        </w:rPr>
        <w:t xml:space="preserve"> Bridge decision said, referring to a lack of 5YHLS, “</w:t>
      </w:r>
      <w:r w:rsidR="00D7113E" w:rsidRPr="00D7113E">
        <w:rPr>
          <w:rFonts w:ascii="Times New Roman" w:hAnsi="Times New Roman" w:cs="Times New Roman"/>
          <w:i/>
          <w:iCs/>
        </w:rPr>
        <w:t>notwithstanding that they are deemed out-of-date, they should nonetheless carry some weight in the balance. The proposal would not accord with the development plan as a whole.</w:t>
      </w:r>
      <w:r w:rsidR="00D7113E">
        <w:rPr>
          <w:rFonts w:ascii="Times New Roman" w:hAnsi="Times New Roman" w:cs="Times New Roman"/>
        </w:rPr>
        <w:t>”</w:t>
      </w:r>
      <w:r w:rsidR="00D7113E">
        <w:rPr>
          <w:rStyle w:val="FootnoteReference"/>
          <w:rFonts w:ascii="Times New Roman" w:hAnsi="Times New Roman" w:cs="Times New Roman"/>
        </w:rPr>
        <w:footnoteReference w:id="3"/>
      </w:r>
    </w:p>
    <w:p w14:paraId="377291C8" w14:textId="77777777" w:rsidR="00887965" w:rsidRDefault="00887965" w:rsidP="000609E9">
      <w:pPr>
        <w:spacing w:line="360" w:lineRule="auto"/>
        <w:ind w:firstLine="720"/>
        <w:jc w:val="both"/>
        <w:rPr>
          <w:rFonts w:ascii="Times New Roman" w:hAnsi="Times New Roman" w:cs="Times New Roman"/>
        </w:rPr>
      </w:pPr>
    </w:p>
    <w:p w14:paraId="26E24C99" w14:textId="6AA5929C" w:rsidR="004C0069" w:rsidRPr="008E3BA6" w:rsidRDefault="00B64B50" w:rsidP="008E3BA6">
      <w:pPr>
        <w:pStyle w:val="ListParagraph"/>
        <w:numPr>
          <w:ilvl w:val="0"/>
          <w:numId w:val="5"/>
        </w:numPr>
        <w:spacing w:line="360" w:lineRule="auto"/>
        <w:jc w:val="both"/>
        <w:rPr>
          <w:rFonts w:ascii="Times New Roman" w:hAnsi="Times New Roman" w:cs="Times New Roman"/>
        </w:rPr>
      </w:pPr>
      <w:r>
        <w:rPr>
          <w:rFonts w:ascii="Times New Roman" w:hAnsi="Times New Roman" w:cs="Times New Roman"/>
        </w:rPr>
        <w:t>The Council have a relatively recent Local Plan</w:t>
      </w:r>
      <w:r w:rsidR="00857B9F">
        <w:rPr>
          <w:rFonts w:ascii="Times New Roman" w:hAnsi="Times New Roman" w:cs="Times New Roman"/>
        </w:rPr>
        <w:t xml:space="preserve">, </w:t>
      </w:r>
      <w:r w:rsidR="001B7611">
        <w:rPr>
          <w:rFonts w:ascii="Times New Roman" w:hAnsi="Times New Roman" w:cs="Times New Roman"/>
        </w:rPr>
        <w:t>and is</w:t>
      </w:r>
      <w:r w:rsidR="00FB715B" w:rsidRPr="00B64B50">
        <w:rPr>
          <w:rFonts w:ascii="Times New Roman" w:hAnsi="Times New Roman" w:cs="Times New Roman"/>
        </w:rPr>
        <w:t xml:space="preserve"> committed to a clear programme</w:t>
      </w:r>
      <w:r w:rsidR="00857B9F">
        <w:rPr>
          <w:rFonts w:ascii="Times New Roman" w:hAnsi="Times New Roman" w:cs="Times New Roman"/>
        </w:rPr>
        <w:t xml:space="preserve">, and </w:t>
      </w:r>
      <w:r w:rsidR="008033DF" w:rsidRPr="008033DF">
        <w:rPr>
          <w:rFonts w:ascii="Times New Roman" w:hAnsi="Times New Roman" w:cs="Times New Roman"/>
        </w:rPr>
        <w:t xml:space="preserve">are </w:t>
      </w:r>
      <w:r w:rsidR="00AA3BEF">
        <w:rPr>
          <w:rFonts w:ascii="Times New Roman" w:hAnsi="Times New Roman" w:cs="Times New Roman"/>
        </w:rPr>
        <w:t>actively taking</w:t>
      </w:r>
      <w:r w:rsidR="008033DF" w:rsidRPr="008033DF">
        <w:rPr>
          <w:rFonts w:ascii="Times New Roman" w:hAnsi="Times New Roman" w:cs="Times New Roman"/>
        </w:rPr>
        <w:t xml:space="preserve"> steps to review the Plan</w:t>
      </w:r>
      <w:r w:rsidR="00733544">
        <w:rPr>
          <w:rFonts w:ascii="Times New Roman" w:hAnsi="Times New Roman" w:cs="Times New Roman"/>
        </w:rPr>
        <w:t xml:space="preserve"> that</w:t>
      </w:r>
      <w:r w:rsidR="00F531DC">
        <w:rPr>
          <w:rFonts w:ascii="Times New Roman" w:hAnsi="Times New Roman" w:cs="Times New Roman"/>
        </w:rPr>
        <w:t xml:space="preserve"> </w:t>
      </w:r>
      <w:r w:rsidR="008033DF" w:rsidRPr="00FB715B">
        <w:rPr>
          <w:rFonts w:ascii="Times New Roman" w:hAnsi="Times New Roman" w:cs="Times New Roman"/>
        </w:rPr>
        <w:t>are set out in</w:t>
      </w:r>
      <w:r w:rsidR="005E3D74" w:rsidRPr="00FB715B">
        <w:rPr>
          <w:rFonts w:ascii="Times New Roman" w:hAnsi="Times New Roman" w:cs="Times New Roman"/>
        </w:rPr>
        <w:t xml:space="preserve"> the Report </w:t>
      </w:r>
      <w:r w:rsidR="005E3D74" w:rsidRPr="00FB715B">
        <w:rPr>
          <w:rFonts w:ascii="Times New Roman" w:hAnsi="Times New Roman" w:cs="Times New Roman"/>
        </w:rPr>
        <w:lastRenderedPageBreak/>
        <w:t>of</w:t>
      </w:r>
      <w:r w:rsidR="008033DF" w:rsidRPr="00FB715B">
        <w:rPr>
          <w:rFonts w:ascii="Times New Roman" w:hAnsi="Times New Roman" w:cs="Times New Roman"/>
        </w:rPr>
        <w:t xml:space="preserve"> </w:t>
      </w:r>
      <w:r w:rsidR="005E3D74" w:rsidRPr="00FB715B">
        <w:rPr>
          <w:rFonts w:ascii="Times New Roman" w:hAnsi="Times New Roman" w:cs="Times New Roman"/>
        </w:rPr>
        <w:t xml:space="preserve">Bromley’s </w:t>
      </w:r>
      <w:r w:rsidR="001D03EC" w:rsidRPr="00FB715B">
        <w:rPr>
          <w:rFonts w:ascii="Times New Roman" w:hAnsi="Times New Roman" w:cs="Times New Roman"/>
        </w:rPr>
        <w:t>Development</w:t>
      </w:r>
      <w:r w:rsidR="005E3D74" w:rsidRPr="00FB715B">
        <w:rPr>
          <w:rFonts w:ascii="Times New Roman" w:hAnsi="Times New Roman" w:cs="Times New Roman"/>
        </w:rPr>
        <w:t xml:space="preserve"> Control </w:t>
      </w:r>
      <w:r w:rsidR="008033DF" w:rsidRPr="00FB715B">
        <w:rPr>
          <w:rFonts w:ascii="Times New Roman" w:hAnsi="Times New Roman" w:cs="Times New Roman"/>
        </w:rPr>
        <w:t>Committee</w:t>
      </w:r>
      <w:r w:rsidR="00F531DC">
        <w:rPr>
          <w:rStyle w:val="FootnoteReference"/>
          <w:rFonts w:ascii="Times New Roman" w:hAnsi="Times New Roman" w:cs="Times New Roman"/>
        </w:rPr>
        <w:footnoteReference w:id="4"/>
      </w:r>
      <w:r w:rsidR="005E3D74" w:rsidRPr="00FB715B">
        <w:rPr>
          <w:rFonts w:ascii="Times New Roman" w:hAnsi="Times New Roman" w:cs="Times New Roman"/>
        </w:rPr>
        <w:t xml:space="preserve"> </w:t>
      </w:r>
      <w:r w:rsidR="002E0406" w:rsidRPr="00FB715B">
        <w:rPr>
          <w:rFonts w:ascii="Times New Roman" w:hAnsi="Times New Roman" w:cs="Times New Roman"/>
        </w:rPr>
        <w:t>which proposes</w:t>
      </w:r>
      <w:r w:rsidR="002E16F8">
        <w:rPr>
          <w:rStyle w:val="FootnoteReference"/>
          <w:rFonts w:ascii="Times New Roman" w:hAnsi="Times New Roman" w:cs="Times New Roman"/>
        </w:rPr>
        <w:footnoteReference w:id="5"/>
      </w:r>
      <w:r w:rsidR="002E16F8">
        <w:rPr>
          <w:rFonts w:ascii="Times New Roman" w:hAnsi="Times New Roman" w:cs="Times New Roman"/>
        </w:rPr>
        <w:t xml:space="preserve"> </w:t>
      </w:r>
      <w:r w:rsidR="002E0406" w:rsidRPr="00FB715B">
        <w:rPr>
          <w:rFonts w:ascii="Times New Roman" w:hAnsi="Times New Roman" w:cs="Times New Roman"/>
        </w:rPr>
        <w:t xml:space="preserve">a timeline for </w:t>
      </w:r>
      <w:r w:rsidR="002E16F8">
        <w:rPr>
          <w:rFonts w:ascii="Times New Roman" w:hAnsi="Times New Roman" w:cs="Times New Roman"/>
        </w:rPr>
        <w:t xml:space="preserve">production of a new </w:t>
      </w:r>
      <w:r w:rsidR="00857B9F">
        <w:rPr>
          <w:rFonts w:ascii="Times New Roman" w:hAnsi="Times New Roman" w:cs="Times New Roman"/>
        </w:rPr>
        <w:t>p</w:t>
      </w:r>
      <w:r w:rsidR="002E16F8">
        <w:rPr>
          <w:rFonts w:ascii="Times New Roman" w:hAnsi="Times New Roman" w:cs="Times New Roman"/>
        </w:rPr>
        <w:t>lan by 2027</w:t>
      </w:r>
      <w:r w:rsidR="002E0406" w:rsidRPr="00FB715B">
        <w:rPr>
          <w:rFonts w:ascii="Times New Roman" w:hAnsi="Times New Roman" w:cs="Times New Roman"/>
        </w:rPr>
        <w:t xml:space="preserve">. </w:t>
      </w:r>
      <w:r w:rsidR="008033DF" w:rsidRPr="00FB715B">
        <w:rPr>
          <w:rFonts w:ascii="Times New Roman" w:hAnsi="Times New Roman" w:cs="Times New Roman"/>
        </w:rPr>
        <w:t>Whilst t</w:t>
      </w:r>
      <w:r w:rsidR="000116FE" w:rsidRPr="00FB715B">
        <w:rPr>
          <w:rFonts w:ascii="Times New Roman" w:hAnsi="Times New Roman" w:cs="Times New Roman"/>
        </w:rPr>
        <w:t xml:space="preserve">he Appellant’s advocate </w:t>
      </w:r>
      <w:r w:rsidR="002E16F8">
        <w:rPr>
          <w:rFonts w:ascii="Times New Roman" w:hAnsi="Times New Roman" w:cs="Times New Roman"/>
        </w:rPr>
        <w:t>suggested</w:t>
      </w:r>
      <w:r w:rsidR="000116FE" w:rsidRPr="00FB715B">
        <w:rPr>
          <w:rFonts w:ascii="Times New Roman" w:hAnsi="Times New Roman" w:cs="Times New Roman"/>
        </w:rPr>
        <w:t xml:space="preserve"> that a new Local Plan might never be adopted</w:t>
      </w:r>
      <w:r w:rsidR="007363FB" w:rsidRPr="00FB715B">
        <w:rPr>
          <w:rFonts w:ascii="Times New Roman" w:hAnsi="Times New Roman" w:cs="Times New Roman"/>
        </w:rPr>
        <w:t>, n</w:t>
      </w:r>
      <w:r w:rsidR="000116FE" w:rsidRPr="00FB715B">
        <w:rPr>
          <w:rFonts w:ascii="Times New Roman" w:hAnsi="Times New Roman" w:cs="Times New Roman"/>
        </w:rPr>
        <w:t xml:space="preserve">o weight should be given to that </w:t>
      </w:r>
      <w:r w:rsidR="002E16F8">
        <w:rPr>
          <w:rFonts w:ascii="Times New Roman" w:hAnsi="Times New Roman" w:cs="Times New Roman"/>
        </w:rPr>
        <w:t>– it is pure unfounded speculation based on no evidence.</w:t>
      </w:r>
    </w:p>
    <w:p w14:paraId="374206D6" w14:textId="77777777" w:rsidR="008033DF" w:rsidRPr="008033DF" w:rsidRDefault="008033DF" w:rsidP="000609E9">
      <w:pPr>
        <w:spacing w:line="360" w:lineRule="auto"/>
        <w:jc w:val="both"/>
        <w:rPr>
          <w:rFonts w:ascii="Times New Roman" w:hAnsi="Times New Roman" w:cs="Times New Roman"/>
        </w:rPr>
      </w:pPr>
    </w:p>
    <w:p w14:paraId="52A159FB" w14:textId="77777777" w:rsidR="004C0069" w:rsidRPr="004772E4" w:rsidRDefault="004C0069" w:rsidP="000609E9">
      <w:pPr>
        <w:spacing w:line="360" w:lineRule="auto"/>
        <w:jc w:val="both"/>
        <w:rPr>
          <w:rFonts w:ascii="Times New Roman" w:hAnsi="Times New Roman" w:cs="Times New Roman"/>
          <w:b/>
          <w:bCs/>
          <w:u w:val="single"/>
        </w:rPr>
      </w:pPr>
      <w:r w:rsidRPr="004772E4">
        <w:rPr>
          <w:rFonts w:ascii="Times New Roman" w:hAnsi="Times New Roman" w:cs="Times New Roman"/>
          <w:b/>
          <w:bCs/>
          <w:u w:val="single"/>
        </w:rPr>
        <w:t xml:space="preserve">Main issue 1: Housing </w:t>
      </w:r>
    </w:p>
    <w:p w14:paraId="392D48DF" w14:textId="77777777" w:rsidR="004772E4" w:rsidRDefault="004772E4" w:rsidP="000609E9">
      <w:pPr>
        <w:spacing w:line="360" w:lineRule="auto"/>
        <w:jc w:val="both"/>
        <w:rPr>
          <w:rFonts w:ascii="Times New Roman" w:hAnsi="Times New Roman" w:cs="Times New Roman"/>
          <w:u w:val="single"/>
        </w:rPr>
      </w:pPr>
    </w:p>
    <w:p w14:paraId="30BAE280" w14:textId="7E31DC3F" w:rsidR="00C86446" w:rsidRDefault="002E16F8" w:rsidP="000609E9">
      <w:pPr>
        <w:spacing w:line="360" w:lineRule="auto"/>
        <w:jc w:val="both"/>
        <w:rPr>
          <w:rFonts w:ascii="Times New Roman" w:hAnsi="Times New Roman" w:cs="Times New Roman"/>
          <w:u w:val="single"/>
        </w:rPr>
      </w:pPr>
      <w:r>
        <w:rPr>
          <w:rFonts w:ascii="Times New Roman" w:hAnsi="Times New Roman" w:cs="Times New Roman"/>
          <w:u w:val="single"/>
        </w:rPr>
        <w:t>Viability</w:t>
      </w:r>
    </w:p>
    <w:p w14:paraId="1C455BE1" w14:textId="77777777" w:rsidR="006B4B6B" w:rsidRDefault="006B4B6B" w:rsidP="000609E9">
      <w:pPr>
        <w:spacing w:line="360" w:lineRule="auto"/>
        <w:jc w:val="both"/>
        <w:rPr>
          <w:rFonts w:ascii="Times New Roman" w:hAnsi="Times New Roman" w:cs="Times New Roman"/>
        </w:rPr>
      </w:pPr>
    </w:p>
    <w:p w14:paraId="28F98503" w14:textId="4161C386" w:rsidR="00F21704" w:rsidRDefault="004772E4" w:rsidP="000609E9">
      <w:pPr>
        <w:pStyle w:val="ListParagraph"/>
        <w:numPr>
          <w:ilvl w:val="0"/>
          <w:numId w:val="5"/>
        </w:numPr>
        <w:spacing w:line="360" w:lineRule="auto"/>
        <w:jc w:val="both"/>
        <w:rPr>
          <w:rFonts w:ascii="Times New Roman" w:hAnsi="Times New Roman" w:cs="Times New Roman"/>
        </w:rPr>
      </w:pPr>
      <w:r>
        <w:rPr>
          <w:rFonts w:ascii="Times New Roman" w:hAnsi="Times New Roman" w:cs="Times New Roman"/>
        </w:rPr>
        <w:t>Ramsay</w:t>
      </w:r>
      <w:r w:rsidR="00537B90">
        <w:rPr>
          <w:rFonts w:ascii="Times New Roman" w:hAnsi="Times New Roman" w:cs="Times New Roman"/>
        </w:rPr>
        <w:t xml:space="preserve"> Evans gave evidence for the Appellant concerning </w:t>
      </w:r>
      <w:r>
        <w:rPr>
          <w:rFonts w:ascii="Times New Roman" w:hAnsi="Times New Roman" w:cs="Times New Roman"/>
        </w:rPr>
        <w:t xml:space="preserve">the </w:t>
      </w:r>
      <w:r w:rsidR="00537B90">
        <w:rPr>
          <w:rFonts w:ascii="Times New Roman" w:hAnsi="Times New Roman" w:cs="Times New Roman"/>
        </w:rPr>
        <w:t xml:space="preserve">viability of the scheme. </w:t>
      </w:r>
      <w:r w:rsidR="00960D9D">
        <w:rPr>
          <w:rFonts w:ascii="Times New Roman" w:hAnsi="Times New Roman" w:cs="Times New Roman"/>
        </w:rPr>
        <w:t>He said in cross examination that any viability is of a moment in time.</w:t>
      </w:r>
      <w:r w:rsidR="00F21704">
        <w:rPr>
          <w:rFonts w:ascii="Times New Roman" w:hAnsi="Times New Roman" w:cs="Times New Roman"/>
        </w:rPr>
        <w:t xml:space="preserve"> It is effectively a snapshot</w:t>
      </w:r>
      <w:r w:rsidR="0035048E">
        <w:rPr>
          <w:rFonts w:ascii="Times New Roman" w:hAnsi="Times New Roman" w:cs="Times New Roman"/>
        </w:rPr>
        <w:t>.</w:t>
      </w:r>
    </w:p>
    <w:p w14:paraId="03FD80F1" w14:textId="77777777" w:rsidR="00F21704" w:rsidRDefault="00F21704" w:rsidP="000609E9">
      <w:pPr>
        <w:pStyle w:val="ListParagraph"/>
        <w:spacing w:line="360" w:lineRule="auto"/>
        <w:jc w:val="both"/>
        <w:rPr>
          <w:rFonts w:ascii="Times New Roman" w:hAnsi="Times New Roman" w:cs="Times New Roman"/>
        </w:rPr>
      </w:pPr>
    </w:p>
    <w:p w14:paraId="1C61D2DD" w14:textId="2CE33302" w:rsidR="009D59BC" w:rsidRPr="006375C0" w:rsidRDefault="004E346E" w:rsidP="000609E9">
      <w:pPr>
        <w:pStyle w:val="ListParagraph"/>
        <w:numPr>
          <w:ilvl w:val="0"/>
          <w:numId w:val="5"/>
        </w:numPr>
        <w:spacing w:line="360" w:lineRule="auto"/>
        <w:jc w:val="both"/>
        <w:rPr>
          <w:rFonts w:ascii="Times New Roman" w:hAnsi="Times New Roman" w:cs="Times New Roman"/>
        </w:rPr>
      </w:pPr>
      <w:r>
        <w:rPr>
          <w:rFonts w:ascii="Times New Roman" w:hAnsi="Times New Roman" w:cs="Times New Roman"/>
        </w:rPr>
        <w:t>He</w:t>
      </w:r>
      <w:r w:rsidR="001B7611">
        <w:rPr>
          <w:rFonts w:ascii="Times New Roman" w:hAnsi="Times New Roman" w:cs="Times New Roman"/>
        </w:rPr>
        <w:t xml:space="preserve"> </w:t>
      </w:r>
      <w:r w:rsidR="00537B90">
        <w:rPr>
          <w:rFonts w:ascii="Times New Roman" w:hAnsi="Times New Roman" w:cs="Times New Roman"/>
        </w:rPr>
        <w:t xml:space="preserve">was asked </w:t>
      </w:r>
      <w:r w:rsidR="00960D9D">
        <w:rPr>
          <w:rFonts w:ascii="Times New Roman" w:hAnsi="Times New Roman" w:cs="Times New Roman"/>
        </w:rPr>
        <w:t xml:space="preserve">in </w:t>
      </w:r>
      <w:r w:rsidR="009E48C3">
        <w:rPr>
          <w:rFonts w:ascii="Times New Roman" w:hAnsi="Times New Roman" w:cs="Times New Roman"/>
        </w:rPr>
        <w:t xml:space="preserve">evidence in </w:t>
      </w:r>
      <w:r w:rsidR="00960D9D">
        <w:rPr>
          <w:rFonts w:ascii="Times New Roman" w:hAnsi="Times New Roman" w:cs="Times New Roman"/>
        </w:rPr>
        <w:t xml:space="preserve">chief </w:t>
      </w:r>
      <w:r w:rsidR="00537B90">
        <w:rPr>
          <w:rFonts w:ascii="Times New Roman" w:hAnsi="Times New Roman" w:cs="Times New Roman"/>
        </w:rPr>
        <w:t>about returns to the proposed scheme</w:t>
      </w:r>
      <w:r w:rsidR="00BE7A23">
        <w:rPr>
          <w:rFonts w:ascii="Times New Roman" w:hAnsi="Times New Roman" w:cs="Times New Roman"/>
        </w:rPr>
        <w:t>, and said he couldn’t see a smaller scheme working on the site.</w:t>
      </w:r>
      <w:r w:rsidR="00537B90">
        <w:rPr>
          <w:rFonts w:ascii="Times New Roman" w:hAnsi="Times New Roman" w:cs="Times New Roman"/>
        </w:rPr>
        <w:t xml:space="preserve"> There is, however, </w:t>
      </w:r>
      <w:r w:rsidR="00537B90" w:rsidRPr="00DD35BD">
        <w:rPr>
          <w:rFonts w:ascii="Times New Roman" w:hAnsi="Times New Roman" w:cs="Times New Roman"/>
        </w:rPr>
        <w:t>no evidence before the inquiry on viability of any such reduced scheme</w:t>
      </w:r>
      <w:r w:rsidR="00A73777">
        <w:rPr>
          <w:rFonts w:ascii="Times New Roman" w:hAnsi="Times New Roman" w:cs="Times New Roman"/>
        </w:rPr>
        <w:t xml:space="preserve"> and also t</w:t>
      </w:r>
      <w:r w:rsidR="00537B90">
        <w:rPr>
          <w:rFonts w:ascii="Times New Roman" w:hAnsi="Times New Roman" w:cs="Times New Roman"/>
        </w:rPr>
        <w:t xml:space="preserve">here is no evidence from the Appellant of </w:t>
      </w:r>
      <w:r w:rsidR="00D03615">
        <w:rPr>
          <w:rFonts w:ascii="Times New Roman" w:hAnsi="Times New Roman" w:cs="Times New Roman"/>
        </w:rPr>
        <w:t xml:space="preserve">the viability of </w:t>
      </w:r>
      <w:r w:rsidR="00537B90">
        <w:rPr>
          <w:rFonts w:ascii="Times New Roman" w:hAnsi="Times New Roman" w:cs="Times New Roman"/>
        </w:rPr>
        <w:t>any other scheme</w:t>
      </w:r>
      <w:r w:rsidR="00C4588E">
        <w:rPr>
          <w:rFonts w:ascii="Times New Roman" w:hAnsi="Times New Roman" w:cs="Times New Roman"/>
        </w:rPr>
        <w:t>, and the Inspector should give no weight to this</w:t>
      </w:r>
      <w:r w:rsidR="00842F6C">
        <w:rPr>
          <w:rFonts w:ascii="Times New Roman" w:hAnsi="Times New Roman" w:cs="Times New Roman"/>
        </w:rPr>
        <w:t xml:space="preserve"> speculation.</w:t>
      </w:r>
    </w:p>
    <w:p w14:paraId="27291F7D" w14:textId="77777777" w:rsidR="00986182" w:rsidRPr="00986182" w:rsidRDefault="00986182" w:rsidP="000609E9">
      <w:pPr>
        <w:spacing w:line="360" w:lineRule="auto"/>
        <w:jc w:val="both"/>
        <w:rPr>
          <w:rFonts w:ascii="Times New Roman" w:hAnsi="Times New Roman" w:cs="Times New Roman"/>
        </w:rPr>
      </w:pPr>
    </w:p>
    <w:p w14:paraId="538EDC6A" w14:textId="19516F1A" w:rsidR="009D59BC" w:rsidRPr="00DD35BD" w:rsidRDefault="009D59BC" w:rsidP="000609E9">
      <w:pPr>
        <w:spacing w:line="360" w:lineRule="auto"/>
        <w:jc w:val="both"/>
        <w:rPr>
          <w:rFonts w:ascii="Times New Roman" w:hAnsi="Times New Roman" w:cs="Times New Roman"/>
          <w:u w:val="single"/>
        </w:rPr>
      </w:pPr>
      <w:r w:rsidRPr="00DD35BD">
        <w:rPr>
          <w:rFonts w:ascii="Times New Roman" w:hAnsi="Times New Roman" w:cs="Times New Roman"/>
          <w:u w:val="single"/>
        </w:rPr>
        <w:t>Housing Land Supply</w:t>
      </w:r>
    </w:p>
    <w:p w14:paraId="4F947946" w14:textId="77777777" w:rsidR="009D59BC" w:rsidRPr="00DD35BD" w:rsidRDefault="009D59BC" w:rsidP="000609E9">
      <w:pPr>
        <w:spacing w:line="360" w:lineRule="auto"/>
        <w:jc w:val="both"/>
        <w:rPr>
          <w:rFonts w:ascii="Times New Roman" w:hAnsi="Times New Roman" w:cs="Times New Roman"/>
        </w:rPr>
      </w:pPr>
    </w:p>
    <w:p w14:paraId="75265377" w14:textId="147F8FAE" w:rsidR="00BF22C7" w:rsidRDefault="000116FE" w:rsidP="000609E9">
      <w:pPr>
        <w:pStyle w:val="ListParagraph"/>
        <w:numPr>
          <w:ilvl w:val="0"/>
          <w:numId w:val="5"/>
        </w:numPr>
        <w:spacing w:line="360" w:lineRule="auto"/>
        <w:jc w:val="both"/>
        <w:rPr>
          <w:rFonts w:ascii="Times New Roman" w:hAnsi="Times New Roman" w:cs="Times New Roman"/>
        </w:rPr>
      </w:pPr>
      <w:r>
        <w:rPr>
          <w:rFonts w:ascii="Times New Roman" w:hAnsi="Times New Roman" w:cs="Times New Roman"/>
        </w:rPr>
        <w:t>It is agreed between the parties that the starting point</w:t>
      </w:r>
      <w:r w:rsidR="006B4B6B">
        <w:rPr>
          <w:rFonts w:ascii="Times New Roman" w:hAnsi="Times New Roman" w:cs="Times New Roman"/>
        </w:rPr>
        <w:t xml:space="preserve"> for an assessment</w:t>
      </w:r>
      <w:r>
        <w:rPr>
          <w:rFonts w:ascii="Times New Roman" w:hAnsi="Times New Roman" w:cs="Times New Roman"/>
        </w:rPr>
        <w:t xml:space="preserve"> is the </w:t>
      </w:r>
      <w:r w:rsidR="003F00FA">
        <w:rPr>
          <w:rFonts w:ascii="Times New Roman" w:hAnsi="Times New Roman" w:cs="Times New Roman"/>
        </w:rPr>
        <w:t xml:space="preserve">current </w:t>
      </w:r>
      <w:r w:rsidR="0013632E">
        <w:rPr>
          <w:rFonts w:ascii="Times New Roman" w:hAnsi="Times New Roman" w:cs="Times New Roman"/>
        </w:rPr>
        <w:t>NPPF</w:t>
      </w:r>
      <w:r w:rsidR="002E16F8">
        <w:rPr>
          <w:rStyle w:val="FootnoteReference"/>
          <w:rFonts w:ascii="Times New Roman" w:hAnsi="Times New Roman" w:cs="Times New Roman"/>
        </w:rPr>
        <w:footnoteReference w:id="6"/>
      </w:r>
      <w:r w:rsidR="0013632E">
        <w:rPr>
          <w:rFonts w:ascii="Times New Roman" w:hAnsi="Times New Roman" w:cs="Times New Roman"/>
        </w:rPr>
        <w:t xml:space="preserve">, unless and until a new </w:t>
      </w:r>
      <w:r w:rsidR="003F00FA">
        <w:rPr>
          <w:rFonts w:ascii="Times New Roman" w:hAnsi="Times New Roman" w:cs="Times New Roman"/>
        </w:rPr>
        <w:t>NPPF is published.</w:t>
      </w:r>
      <w:r w:rsidR="008253DF">
        <w:rPr>
          <w:rFonts w:ascii="Times New Roman" w:hAnsi="Times New Roman" w:cs="Times New Roman"/>
        </w:rPr>
        <w:t xml:space="preserve"> </w:t>
      </w:r>
      <w:r w:rsidR="00BF22C7">
        <w:rPr>
          <w:rFonts w:ascii="Times New Roman" w:hAnsi="Times New Roman" w:cs="Times New Roman"/>
        </w:rPr>
        <w:t>It is</w:t>
      </w:r>
      <w:r w:rsidR="002E16F8">
        <w:rPr>
          <w:rFonts w:ascii="Times New Roman" w:hAnsi="Times New Roman" w:cs="Times New Roman"/>
        </w:rPr>
        <w:t xml:space="preserve"> also</w:t>
      </w:r>
      <w:r w:rsidR="00BF22C7">
        <w:rPr>
          <w:rFonts w:ascii="Times New Roman" w:hAnsi="Times New Roman" w:cs="Times New Roman"/>
        </w:rPr>
        <w:t xml:space="preserve"> agreed in the Statement of Common Ground</w:t>
      </w:r>
      <w:r w:rsidR="002E16F8">
        <w:rPr>
          <w:rStyle w:val="FootnoteReference"/>
          <w:rFonts w:ascii="Times New Roman" w:hAnsi="Times New Roman" w:cs="Times New Roman"/>
        </w:rPr>
        <w:footnoteReference w:id="7"/>
      </w:r>
      <w:r w:rsidR="00BF22C7">
        <w:rPr>
          <w:rFonts w:ascii="Times New Roman" w:hAnsi="Times New Roman" w:cs="Times New Roman"/>
        </w:rPr>
        <w:t xml:space="preserve"> that the</w:t>
      </w:r>
      <w:r w:rsidR="002E16F8">
        <w:rPr>
          <w:rFonts w:ascii="Times New Roman" w:hAnsi="Times New Roman" w:cs="Times New Roman"/>
        </w:rPr>
        <w:t>re is a</w:t>
      </w:r>
      <w:r w:rsidR="00BF22C7">
        <w:rPr>
          <w:rFonts w:ascii="Times New Roman" w:hAnsi="Times New Roman" w:cs="Times New Roman"/>
        </w:rPr>
        <w:t xml:space="preserve"> presumption in favour of development </w:t>
      </w:r>
      <w:r w:rsidR="002E16F8">
        <w:rPr>
          <w:rFonts w:ascii="Times New Roman" w:hAnsi="Times New Roman" w:cs="Times New Roman"/>
        </w:rPr>
        <w:t>and the tilted balance applies.</w:t>
      </w:r>
      <w:r w:rsidR="00867D04">
        <w:rPr>
          <w:rFonts w:ascii="Times New Roman" w:hAnsi="Times New Roman" w:cs="Times New Roman"/>
        </w:rPr>
        <w:t xml:space="preserve"> However the Inspector also needs to take account of other parts of the Framework, for example paragraph [139] dismissing appeals on the grounds of poor design</w:t>
      </w:r>
      <w:r w:rsidR="008D136B">
        <w:rPr>
          <w:rFonts w:ascii="Times New Roman" w:hAnsi="Times New Roman" w:cs="Times New Roman"/>
        </w:rPr>
        <w:t>,</w:t>
      </w:r>
      <w:r w:rsidR="00867D04">
        <w:rPr>
          <w:rFonts w:ascii="Times New Roman" w:hAnsi="Times New Roman" w:cs="Times New Roman"/>
        </w:rPr>
        <w:t xml:space="preserve"> and </w:t>
      </w:r>
      <w:r w:rsidR="008D136B">
        <w:rPr>
          <w:rFonts w:ascii="Times New Roman" w:hAnsi="Times New Roman" w:cs="Times New Roman"/>
        </w:rPr>
        <w:t xml:space="preserve">section 11 of the NPPF concerning the </w:t>
      </w:r>
      <w:r w:rsidR="00867D04">
        <w:rPr>
          <w:rFonts w:ascii="Times New Roman" w:hAnsi="Times New Roman" w:cs="Times New Roman"/>
        </w:rPr>
        <w:t>impact on heritage.</w:t>
      </w:r>
    </w:p>
    <w:p w14:paraId="38F186AA" w14:textId="77777777" w:rsidR="00BF22C7" w:rsidRDefault="00BF22C7" w:rsidP="000609E9">
      <w:pPr>
        <w:pStyle w:val="ListParagraph"/>
        <w:spacing w:line="360" w:lineRule="auto"/>
        <w:jc w:val="both"/>
        <w:rPr>
          <w:rFonts w:ascii="Times New Roman" w:hAnsi="Times New Roman" w:cs="Times New Roman"/>
        </w:rPr>
      </w:pPr>
    </w:p>
    <w:p w14:paraId="4155F1D0" w14:textId="569CFD8F" w:rsidR="002E16F8" w:rsidRDefault="004F0C86" w:rsidP="000609E9">
      <w:pPr>
        <w:pStyle w:val="ListParagraph"/>
        <w:numPr>
          <w:ilvl w:val="0"/>
          <w:numId w:val="5"/>
        </w:numPr>
        <w:spacing w:line="360" w:lineRule="auto"/>
        <w:jc w:val="both"/>
        <w:rPr>
          <w:rFonts w:ascii="Times New Roman" w:hAnsi="Times New Roman" w:cs="Times New Roman"/>
        </w:rPr>
      </w:pPr>
      <w:r>
        <w:rPr>
          <w:rFonts w:ascii="Times New Roman" w:hAnsi="Times New Roman" w:cs="Times New Roman"/>
        </w:rPr>
        <w:lastRenderedPageBreak/>
        <w:t>The Statement of Common Ground on Housing sets out the agreed and disputed matters on</w:t>
      </w:r>
      <w:r w:rsidR="008253DF">
        <w:rPr>
          <w:rFonts w:ascii="Times New Roman" w:hAnsi="Times New Roman" w:cs="Times New Roman"/>
        </w:rPr>
        <w:t xml:space="preserve"> </w:t>
      </w:r>
      <w:r w:rsidR="003F00FA" w:rsidRPr="008253DF">
        <w:rPr>
          <w:rFonts w:ascii="Times New Roman" w:hAnsi="Times New Roman" w:cs="Times New Roman"/>
        </w:rPr>
        <w:t>5YHLS</w:t>
      </w:r>
      <w:r w:rsidR="00830F29">
        <w:rPr>
          <w:rStyle w:val="FootnoteReference"/>
          <w:rFonts w:ascii="Times New Roman" w:hAnsi="Times New Roman" w:cs="Times New Roman"/>
        </w:rPr>
        <w:footnoteReference w:id="8"/>
      </w:r>
      <w:r>
        <w:rPr>
          <w:rFonts w:ascii="Times New Roman" w:hAnsi="Times New Roman" w:cs="Times New Roman"/>
        </w:rPr>
        <w:t>. The Council’s case is 2.</w:t>
      </w:r>
      <w:r w:rsidRPr="00830F29">
        <w:rPr>
          <w:rFonts w:ascii="Times New Roman" w:hAnsi="Times New Roman" w:cs="Times New Roman"/>
        </w:rPr>
        <w:t>96 years</w:t>
      </w:r>
      <w:r w:rsidR="00EF7F04">
        <w:rPr>
          <w:rFonts w:ascii="Times New Roman" w:hAnsi="Times New Roman" w:cs="Times New Roman"/>
        </w:rPr>
        <w:t xml:space="preserve"> supply</w:t>
      </w:r>
      <w:r w:rsidRPr="00830F29">
        <w:rPr>
          <w:rFonts w:ascii="Times New Roman" w:hAnsi="Times New Roman" w:cs="Times New Roman"/>
        </w:rPr>
        <w:t>. The</w:t>
      </w:r>
      <w:r>
        <w:rPr>
          <w:rFonts w:ascii="Times New Roman" w:hAnsi="Times New Roman" w:cs="Times New Roman"/>
        </w:rPr>
        <w:t xml:space="preserve"> Appellant’s case is 2.4 years</w:t>
      </w:r>
      <w:r w:rsidR="00EF7F04">
        <w:rPr>
          <w:rFonts w:ascii="Times New Roman" w:hAnsi="Times New Roman" w:cs="Times New Roman"/>
        </w:rPr>
        <w:t xml:space="preserve"> supply</w:t>
      </w:r>
      <w:r w:rsidR="00830F29">
        <w:rPr>
          <w:rFonts w:ascii="Times New Roman" w:hAnsi="Times New Roman" w:cs="Times New Roman"/>
        </w:rPr>
        <w:t xml:space="preserve">. </w:t>
      </w:r>
      <w:r w:rsidR="003F00FA" w:rsidRPr="008253DF">
        <w:rPr>
          <w:rFonts w:ascii="Times New Roman" w:hAnsi="Times New Roman" w:cs="Times New Roman"/>
        </w:rPr>
        <w:t>These differences are</w:t>
      </w:r>
      <w:r>
        <w:rPr>
          <w:rFonts w:ascii="Times New Roman" w:hAnsi="Times New Roman" w:cs="Times New Roman"/>
        </w:rPr>
        <w:t xml:space="preserve"> due to</w:t>
      </w:r>
      <w:r w:rsidR="00830F29">
        <w:rPr>
          <w:rFonts w:ascii="Times New Roman" w:hAnsi="Times New Roman" w:cs="Times New Roman"/>
        </w:rPr>
        <w:t>:</w:t>
      </w:r>
    </w:p>
    <w:p w14:paraId="363A1165" w14:textId="13707066" w:rsidR="002E16F8" w:rsidRDefault="004F0C86" w:rsidP="000609E9">
      <w:pPr>
        <w:pStyle w:val="ListParagraph"/>
        <w:numPr>
          <w:ilvl w:val="1"/>
          <w:numId w:val="5"/>
        </w:numPr>
        <w:spacing w:line="360" w:lineRule="auto"/>
        <w:jc w:val="both"/>
        <w:rPr>
          <w:rFonts w:ascii="Times New Roman" w:hAnsi="Times New Roman" w:cs="Times New Roman"/>
        </w:rPr>
      </w:pPr>
      <w:r>
        <w:rPr>
          <w:rFonts w:ascii="Times New Roman" w:hAnsi="Times New Roman" w:cs="Times New Roman"/>
        </w:rPr>
        <w:t xml:space="preserve">the </w:t>
      </w:r>
      <w:r w:rsidR="001D6DF7">
        <w:rPr>
          <w:rFonts w:ascii="Times New Roman" w:hAnsi="Times New Roman" w:cs="Times New Roman"/>
        </w:rPr>
        <w:t>level of provision</w:t>
      </w:r>
      <w:r w:rsidR="00EF5890" w:rsidRPr="004F0C86">
        <w:rPr>
          <w:rFonts w:ascii="Times New Roman" w:hAnsi="Times New Roman" w:cs="Times New Roman"/>
        </w:rPr>
        <w:t xml:space="preserve"> from small sit</w:t>
      </w:r>
      <w:r w:rsidR="001D6DF7">
        <w:rPr>
          <w:rFonts w:ascii="Times New Roman" w:hAnsi="Times New Roman" w:cs="Times New Roman"/>
        </w:rPr>
        <w:t>es</w:t>
      </w:r>
      <w:r>
        <w:rPr>
          <w:rFonts w:ascii="Times New Roman" w:hAnsi="Times New Roman" w:cs="Times New Roman"/>
        </w:rPr>
        <w:t xml:space="preserve">; and </w:t>
      </w:r>
    </w:p>
    <w:p w14:paraId="2A54BB12" w14:textId="1E3B95BA" w:rsidR="002E16F8" w:rsidRPr="00D03615" w:rsidRDefault="004F0C86" w:rsidP="000609E9">
      <w:pPr>
        <w:pStyle w:val="ListParagraph"/>
        <w:numPr>
          <w:ilvl w:val="1"/>
          <w:numId w:val="5"/>
        </w:numPr>
        <w:spacing w:line="360" w:lineRule="auto"/>
        <w:jc w:val="both"/>
        <w:rPr>
          <w:rFonts w:ascii="Times New Roman" w:hAnsi="Times New Roman" w:cs="Times New Roman"/>
        </w:rPr>
      </w:pPr>
      <w:r>
        <w:rPr>
          <w:rFonts w:ascii="Times New Roman" w:hAnsi="Times New Roman" w:cs="Times New Roman"/>
        </w:rPr>
        <w:t>the c</w:t>
      </w:r>
      <w:r w:rsidR="00EF5890" w:rsidRPr="004F0C86">
        <w:rPr>
          <w:rFonts w:ascii="Times New Roman" w:hAnsi="Times New Roman" w:cs="Times New Roman"/>
        </w:rPr>
        <w:t>ontribution from S</w:t>
      </w:r>
      <w:r w:rsidR="003F00FA" w:rsidRPr="004F0C86">
        <w:rPr>
          <w:rFonts w:ascii="Times New Roman" w:hAnsi="Times New Roman" w:cs="Times New Roman"/>
        </w:rPr>
        <w:t>outh</w:t>
      </w:r>
      <w:r w:rsidR="00EF5890" w:rsidRPr="004F0C86">
        <w:rPr>
          <w:rFonts w:ascii="Times New Roman" w:hAnsi="Times New Roman" w:cs="Times New Roman"/>
        </w:rPr>
        <w:t xml:space="preserve"> Eden Park Road. </w:t>
      </w:r>
    </w:p>
    <w:p w14:paraId="2612D3DB" w14:textId="77777777" w:rsidR="001D6DF7" w:rsidRDefault="001D6DF7" w:rsidP="000609E9">
      <w:pPr>
        <w:spacing w:line="360" w:lineRule="auto"/>
        <w:jc w:val="both"/>
        <w:rPr>
          <w:rFonts w:ascii="Times New Roman" w:hAnsi="Times New Roman" w:cs="Times New Roman"/>
        </w:rPr>
      </w:pPr>
    </w:p>
    <w:p w14:paraId="1707C0CE" w14:textId="36EEADBC" w:rsidR="00E322B0" w:rsidRPr="00E322B0" w:rsidRDefault="00E322B0" w:rsidP="000609E9">
      <w:pPr>
        <w:spacing w:line="360" w:lineRule="auto"/>
        <w:jc w:val="both"/>
        <w:rPr>
          <w:rFonts w:ascii="Times New Roman" w:hAnsi="Times New Roman" w:cs="Times New Roman"/>
          <w:u w:val="single"/>
        </w:rPr>
      </w:pPr>
      <w:r>
        <w:rPr>
          <w:rFonts w:ascii="Times New Roman" w:hAnsi="Times New Roman" w:cs="Times New Roman"/>
          <w:u w:val="single"/>
        </w:rPr>
        <w:t>Small Sites Provision</w:t>
      </w:r>
    </w:p>
    <w:p w14:paraId="039BE8A1" w14:textId="77777777" w:rsidR="00E322B0" w:rsidRPr="002E16F8" w:rsidRDefault="00E322B0" w:rsidP="000609E9">
      <w:pPr>
        <w:spacing w:line="360" w:lineRule="auto"/>
        <w:jc w:val="both"/>
        <w:rPr>
          <w:rFonts w:ascii="Times New Roman" w:hAnsi="Times New Roman" w:cs="Times New Roman"/>
        </w:rPr>
      </w:pPr>
    </w:p>
    <w:p w14:paraId="24EF92E8" w14:textId="37B32CE0" w:rsidR="001D6DF7" w:rsidRDefault="0069754D" w:rsidP="001D6DF7">
      <w:pPr>
        <w:pStyle w:val="ListParagraph"/>
        <w:numPr>
          <w:ilvl w:val="0"/>
          <w:numId w:val="5"/>
        </w:numPr>
        <w:spacing w:line="360" w:lineRule="auto"/>
        <w:jc w:val="both"/>
        <w:rPr>
          <w:rFonts w:ascii="Times New Roman" w:hAnsi="Times New Roman" w:cs="Times New Roman"/>
        </w:rPr>
      </w:pPr>
      <w:r w:rsidRPr="0069754D">
        <w:rPr>
          <w:rFonts w:ascii="Times New Roman" w:hAnsi="Times New Roman" w:cs="Times New Roman"/>
        </w:rPr>
        <w:t xml:space="preserve">The parties take a different approach to calculating projected small sites delivery. The Council bases its projections on small sites permissions and a windfall assumption which is advocated in the adopted London Plan. The </w:t>
      </w:r>
      <w:r w:rsidR="00EF7F04">
        <w:rPr>
          <w:rFonts w:ascii="Times New Roman" w:hAnsi="Times New Roman" w:cs="Times New Roman"/>
        </w:rPr>
        <w:t>A</w:t>
      </w:r>
      <w:r w:rsidRPr="0069754D">
        <w:rPr>
          <w:rFonts w:ascii="Times New Roman" w:hAnsi="Times New Roman" w:cs="Times New Roman"/>
        </w:rPr>
        <w:t>ppellant bases their projections solely on empirical trend data, which is an overly simplistic approach that can be unreliable.</w:t>
      </w:r>
    </w:p>
    <w:p w14:paraId="566F94A2" w14:textId="77777777" w:rsidR="001D6DF7" w:rsidRDefault="001D6DF7" w:rsidP="001D6DF7">
      <w:pPr>
        <w:pStyle w:val="ListParagraph"/>
        <w:spacing w:line="360" w:lineRule="auto"/>
        <w:jc w:val="both"/>
        <w:rPr>
          <w:rFonts w:ascii="Times New Roman" w:hAnsi="Times New Roman" w:cs="Times New Roman"/>
        </w:rPr>
      </w:pPr>
    </w:p>
    <w:p w14:paraId="2B82B628" w14:textId="0E9FA251" w:rsidR="001D6DF7" w:rsidRPr="001D6DF7" w:rsidRDefault="001D6DF7" w:rsidP="001D6DF7">
      <w:pPr>
        <w:pStyle w:val="ListParagraph"/>
        <w:numPr>
          <w:ilvl w:val="0"/>
          <w:numId w:val="5"/>
        </w:numPr>
        <w:spacing w:line="360" w:lineRule="auto"/>
        <w:jc w:val="both"/>
        <w:rPr>
          <w:rFonts w:ascii="Times New Roman" w:hAnsi="Times New Roman" w:cs="Times New Roman"/>
        </w:rPr>
      </w:pPr>
      <w:r w:rsidRPr="001D6DF7">
        <w:rPr>
          <w:rFonts w:ascii="Times New Roman" w:hAnsi="Times New Roman" w:cs="Times New Roman"/>
        </w:rPr>
        <w:t xml:space="preserve">Ben Johnson has set out </w:t>
      </w:r>
      <w:r w:rsidR="00867D04">
        <w:rPr>
          <w:rFonts w:ascii="Times New Roman" w:hAnsi="Times New Roman" w:cs="Times New Roman"/>
        </w:rPr>
        <w:t>the</w:t>
      </w:r>
      <w:r w:rsidRPr="001D6DF7">
        <w:rPr>
          <w:rFonts w:ascii="Times New Roman" w:hAnsi="Times New Roman" w:cs="Times New Roman"/>
        </w:rPr>
        <w:t xml:space="preserve"> reasons for his calculations in his proof. He also highlighted his concern about the GLA datahub figures which feed through into Housing Delivery Test figures. The Council ask the Inspector to adopt Ben Johnson’s calculations and methodology.</w:t>
      </w:r>
    </w:p>
    <w:p w14:paraId="1625681F" w14:textId="77777777" w:rsidR="0069754D" w:rsidRPr="00AD1913" w:rsidRDefault="0069754D" w:rsidP="00830F29">
      <w:pPr>
        <w:spacing w:line="360" w:lineRule="auto"/>
        <w:jc w:val="both"/>
        <w:rPr>
          <w:rFonts w:ascii="Times New Roman" w:hAnsi="Times New Roman" w:cs="Times New Roman"/>
        </w:rPr>
      </w:pPr>
    </w:p>
    <w:p w14:paraId="1CB88E6C" w14:textId="742F379C" w:rsidR="00E322B0" w:rsidRPr="00E322B0" w:rsidRDefault="00E322B0" w:rsidP="00830F29">
      <w:pPr>
        <w:spacing w:line="360" w:lineRule="auto"/>
        <w:jc w:val="both"/>
        <w:rPr>
          <w:rFonts w:ascii="Times New Roman" w:hAnsi="Times New Roman" w:cs="Times New Roman"/>
          <w:u w:val="single"/>
        </w:rPr>
      </w:pPr>
      <w:r>
        <w:rPr>
          <w:rFonts w:ascii="Times New Roman" w:hAnsi="Times New Roman" w:cs="Times New Roman"/>
          <w:u w:val="single"/>
        </w:rPr>
        <w:t>South Eden Park Road</w:t>
      </w:r>
    </w:p>
    <w:p w14:paraId="020320D9" w14:textId="77777777" w:rsidR="00E322B0" w:rsidRDefault="00E322B0" w:rsidP="00830F29">
      <w:pPr>
        <w:spacing w:line="360" w:lineRule="auto"/>
        <w:jc w:val="both"/>
        <w:rPr>
          <w:rFonts w:ascii="Times New Roman" w:hAnsi="Times New Roman" w:cs="Times New Roman"/>
        </w:rPr>
      </w:pPr>
    </w:p>
    <w:p w14:paraId="3DAFEEF8" w14:textId="44934390" w:rsidR="00830F29" w:rsidRPr="00830F29" w:rsidRDefault="00830F29" w:rsidP="00830F29">
      <w:pPr>
        <w:pStyle w:val="ListParagraph"/>
        <w:numPr>
          <w:ilvl w:val="0"/>
          <w:numId w:val="5"/>
        </w:numPr>
        <w:spacing w:line="360" w:lineRule="auto"/>
        <w:jc w:val="both"/>
        <w:rPr>
          <w:rFonts w:ascii="Times New Roman" w:hAnsi="Times New Roman" w:cs="Times New Roman"/>
        </w:rPr>
      </w:pPr>
      <w:r>
        <w:rPr>
          <w:rFonts w:ascii="Times New Roman" w:hAnsi="Times New Roman" w:cs="Times New Roman"/>
        </w:rPr>
        <w:t>The s</w:t>
      </w:r>
      <w:r w:rsidRPr="00DD35BD">
        <w:rPr>
          <w:rFonts w:ascii="Times New Roman" w:hAnsi="Times New Roman" w:cs="Times New Roman"/>
        </w:rPr>
        <w:t xml:space="preserve">ite </w:t>
      </w:r>
      <w:r>
        <w:rPr>
          <w:rFonts w:ascii="Times New Roman" w:hAnsi="Times New Roman" w:cs="Times New Roman"/>
        </w:rPr>
        <w:t xml:space="preserve">was </w:t>
      </w:r>
      <w:r w:rsidRPr="00DD35BD">
        <w:rPr>
          <w:rFonts w:ascii="Times New Roman" w:hAnsi="Times New Roman" w:cs="Times New Roman"/>
        </w:rPr>
        <w:t>granted pl</w:t>
      </w:r>
      <w:r>
        <w:rPr>
          <w:rFonts w:ascii="Times New Roman" w:hAnsi="Times New Roman" w:cs="Times New Roman"/>
        </w:rPr>
        <w:t>anning</w:t>
      </w:r>
      <w:r w:rsidRPr="00DD35BD">
        <w:rPr>
          <w:rFonts w:ascii="Times New Roman" w:hAnsi="Times New Roman" w:cs="Times New Roman"/>
        </w:rPr>
        <w:t xml:space="preserve"> per</w:t>
      </w:r>
      <w:r>
        <w:rPr>
          <w:rFonts w:ascii="Times New Roman" w:hAnsi="Times New Roman" w:cs="Times New Roman"/>
        </w:rPr>
        <w:t>mission</w:t>
      </w:r>
      <w:r w:rsidRPr="00DD35BD">
        <w:rPr>
          <w:rFonts w:ascii="Times New Roman" w:hAnsi="Times New Roman" w:cs="Times New Roman"/>
        </w:rPr>
        <w:t xml:space="preserve"> in 2018, but </w:t>
      </w:r>
      <w:r>
        <w:rPr>
          <w:rFonts w:ascii="Times New Roman" w:hAnsi="Times New Roman" w:cs="Times New Roman"/>
        </w:rPr>
        <w:t>it is not correct to</w:t>
      </w:r>
      <w:r w:rsidRPr="00DD35BD">
        <w:rPr>
          <w:rFonts w:ascii="Times New Roman" w:hAnsi="Times New Roman" w:cs="Times New Roman"/>
        </w:rPr>
        <w:t xml:space="preserve"> blam</w:t>
      </w:r>
      <w:r>
        <w:rPr>
          <w:rFonts w:ascii="Times New Roman" w:hAnsi="Times New Roman" w:cs="Times New Roman"/>
        </w:rPr>
        <w:t>e</w:t>
      </w:r>
      <w:r w:rsidRPr="00DD35BD">
        <w:rPr>
          <w:rFonts w:ascii="Times New Roman" w:hAnsi="Times New Roman" w:cs="Times New Roman"/>
        </w:rPr>
        <w:t xml:space="preserve"> Bromley for its lack of development</w:t>
      </w:r>
      <w:r>
        <w:rPr>
          <w:rFonts w:ascii="Times New Roman" w:hAnsi="Times New Roman" w:cs="Times New Roman"/>
        </w:rPr>
        <w:t>. I</w:t>
      </w:r>
      <w:r w:rsidRPr="00782F68">
        <w:rPr>
          <w:rFonts w:ascii="Times New Roman" w:hAnsi="Times New Roman" w:cs="Times New Roman"/>
        </w:rPr>
        <w:t xml:space="preserve">t is well on its way: </w:t>
      </w:r>
      <w:r>
        <w:rPr>
          <w:rFonts w:ascii="Times New Roman" w:hAnsi="Times New Roman" w:cs="Times New Roman"/>
        </w:rPr>
        <w:t xml:space="preserve">the below ground level </w:t>
      </w:r>
      <w:r w:rsidRPr="00782F68">
        <w:rPr>
          <w:rFonts w:ascii="Times New Roman" w:hAnsi="Times New Roman" w:cs="Times New Roman"/>
        </w:rPr>
        <w:t xml:space="preserve">pre-commencement conditions have all been discharged. </w:t>
      </w:r>
      <w:r>
        <w:rPr>
          <w:rFonts w:ascii="Times New Roman" w:hAnsi="Times New Roman" w:cs="Times New Roman"/>
        </w:rPr>
        <w:t xml:space="preserve">The Appellants have submitted a very </w:t>
      </w:r>
      <w:r w:rsidRPr="00D23D64">
        <w:rPr>
          <w:rFonts w:ascii="Times New Roman" w:hAnsi="Times New Roman" w:cs="Times New Roman"/>
        </w:rPr>
        <w:t>short email</w:t>
      </w:r>
      <w:r w:rsidRPr="00D23D64">
        <w:rPr>
          <w:rStyle w:val="FootnoteReference"/>
          <w:rFonts w:ascii="Times New Roman" w:hAnsi="Times New Roman" w:cs="Times New Roman"/>
        </w:rPr>
        <w:footnoteReference w:id="9"/>
      </w:r>
      <w:r w:rsidRPr="00D23D64">
        <w:rPr>
          <w:rFonts w:ascii="Times New Roman" w:hAnsi="Times New Roman" w:cs="Times New Roman"/>
        </w:rPr>
        <w:t xml:space="preserve"> </w:t>
      </w:r>
      <w:r w:rsidR="00550CF3">
        <w:rPr>
          <w:rFonts w:ascii="Times New Roman" w:hAnsi="Times New Roman" w:cs="Times New Roman"/>
        </w:rPr>
        <w:t xml:space="preserve">from the agent </w:t>
      </w:r>
      <w:r w:rsidRPr="00D23D64">
        <w:rPr>
          <w:rFonts w:ascii="Times New Roman" w:hAnsi="Times New Roman" w:cs="Times New Roman"/>
        </w:rPr>
        <w:t>which</w:t>
      </w:r>
      <w:r>
        <w:rPr>
          <w:rFonts w:ascii="Times New Roman" w:hAnsi="Times New Roman" w:cs="Times New Roman"/>
        </w:rPr>
        <w:t xml:space="preserve"> suggests the site may not come forward quickly. </w:t>
      </w:r>
      <w:r w:rsidR="0048614A">
        <w:rPr>
          <w:rFonts w:ascii="Times New Roman" w:hAnsi="Times New Roman" w:cs="Times New Roman"/>
        </w:rPr>
        <w:t>T</w:t>
      </w:r>
      <w:r>
        <w:rPr>
          <w:rFonts w:ascii="Times New Roman" w:hAnsi="Times New Roman" w:cs="Times New Roman"/>
        </w:rPr>
        <w:t>he context is not known</w:t>
      </w:r>
      <w:r w:rsidR="000B160A">
        <w:rPr>
          <w:rFonts w:ascii="Times New Roman" w:hAnsi="Times New Roman" w:cs="Times New Roman"/>
        </w:rPr>
        <w:t xml:space="preserve"> and</w:t>
      </w:r>
      <w:r>
        <w:rPr>
          <w:rFonts w:ascii="Times New Roman" w:hAnsi="Times New Roman" w:cs="Times New Roman"/>
        </w:rPr>
        <w:t xml:space="preserve"> Ben </w:t>
      </w:r>
      <w:proofErr w:type="spellStart"/>
      <w:r w:rsidRPr="00782F68">
        <w:rPr>
          <w:rFonts w:ascii="Times New Roman" w:hAnsi="Times New Roman" w:cs="Times New Roman"/>
        </w:rPr>
        <w:t>Pycroft</w:t>
      </w:r>
      <w:proofErr w:type="spellEnd"/>
      <w:r w:rsidRPr="00782F68">
        <w:rPr>
          <w:rFonts w:ascii="Times New Roman" w:hAnsi="Times New Roman" w:cs="Times New Roman"/>
        </w:rPr>
        <w:t xml:space="preserve"> agreed</w:t>
      </w:r>
      <w:r>
        <w:rPr>
          <w:rStyle w:val="FootnoteReference"/>
          <w:rFonts w:ascii="Times New Roman" w:hAnsi="Times New Roman" w:cs="Times New Roman"/>
        </w:rPr>
        <w:footnoteReference w:id="10"/>
      </w:r>
      <w:r w:rsidRPr="00782F68">
        <w:rPr>
          <w:rFonts w:ascii="Times New Roman" w:hAnsi="Times New Roman" w:cs="Times New Roman"/>
        </w:rPr>
        <w:t xml:space="preserve"> that </w:t>
      </w:r>
      <w:r>
        <w:rPr>
          <w:rFonts w:ascii="Times New Roman" w:hAnsi="Times New Roman" w:cs="Times New Roman"/>
        </w:rPr>
        <w:t>we are</w:t>
      </w:r>
      <w:r w:rsidRPr="00782F68">
        <w:rPr>
          <w:rFonts w:ascii="Times New Roman" w:hAnsi="Times New Roman" w:cs="Times New Roman"/>
        </w:rPr>
        <w:t xml:space="preserve"> not fully informed of </w:t>
      </w:r>
      <w:r w:rsidR="00C83174">
        <w:rPr>
          <w:rFonts w:ascii="Times New Roman" w:hAnsi="Times New Roman" w:cs="Times New Roman"/>
        </w:rPr>
        <w:t>it</w:t>
      </w:r>
      <w:r w:rsidR="0048614A">
        <w:rPr>
          <w:rFonts w:ascii="Times New Roman" w:hAnsi="Times New Roman" w:cs="Times New Roman"/>
        </w:rPr>
        <w:t>. The Inspector is invited n</w:t>
      </w:r>
      <w:r w:rsidR="0048614A" w:rsidRPr="00782F68">
        <w:rPr>
          <w:rFonts w:ascii="Times New Roman" w:hAnsi="Times New Roman" w:cs="Times New Roman"/>
        </w:rPr>
        <w:t xml:space="preserve">ot to give any weight to </w:t>
      </w:r>
      <w:r w:rsidR="0048614A">
        <w:rPr>
          <w:rFonts w:ascii="Times New Roman" w:hAnsi="Times New Roman" w:cs="Times New Roman"/>
        </w:rPr>
        <w:t>the email</w:t>
      </w:r>
      <w:r w:rsidR="00AB471E">
        <w:rPr>
          <w:rFonts w:ascii="Times New Roman" w:hAnsi="Times New Roman" w:cs="Times New Roman"/>
        </w:rPr>
        <w:t xml:space="preserve"> and conclude that there is every possibility that this site will come forward</w:t>
      </w:r>
      <w:r w:rsidR="00901F2F">
        <w:rPr>
          <w:rFonts w:ascii="Times New Roman" w:hAnsi="Times New Roman" w:cs="Times New Roman"/>
        </w:rPr>
        <w:t xml:space="preserve"> by 2026</w:t>
      </w:r>
      <w:r w:rsidR="00AB471E">
        <w:rPr>
          <w:rFonts w:ascii="Times New Roman" w:hAnsi="Times New Roman" w:cs="Times New Roman"/>
        </w:rPr>
        <w:t>.</w:t>
      </w:r>
    </w:p>
    <w:p w14:paraId="67B6254C" w14:textId="77777777" w:rsidR="00FF0E45" w:rsidRDefault="00FF0E45" w:rsidP="00830F29">
      <w:pPr>
        <w:spacing w:line="360" w:lineRule="auto"/>
        <w:rPr>
          <w:rFonts w:ascii="Times New Roman" w:hAnsi="Times New Roman" w:cs="Times New Roman"/>
        </w:rPr>
      </w:pPr>
    </w:p>
    <w:p w14:paraId="5F01559F" w14:textId="78859B0C" w:rsidR="009C0735" w:rsidRPr="00F82BB2" w:rsidRDefault="009C0735" w:rsidP="00830F29">
      <w:pPr>
        <w:spacing w:line="360" w:lineRule="auto"/>
        <w:rPr>
          <w:rFonts w:ascii="Times New Roman" w:hAnsi="Times New Roman" w:cs="Times New Roman"/>
          <w:u w:val="single"/>
        </w:rPr>
      </w:pPr>
      <w:r>
        <w:rPr>
          <w:rFonts w:ascii="Times New Roman" w:hAnsi="Times New Roman" w:cs="Times New Roman"/>
          <w:u w:val="single"/>
        </w:rPr>
        <w:t>Future Housing Land Supply</w:t>
      </w:r>
    </w:p>
    <w:p w14:paraId="52E04EC8" w14:textId="11D5640B" w:rsidR="009D59BC" w:rsidRDefault="006560F4" w:rsidP="00287465">
      <w:pPr>
        <w:pStyle w:val="ListParagraph"/>
        <w:numPr>
          <w:ilvl w:val="0"/>
          <w:numId w:val="5"/>
        </w:numPr>
        <w:spacing w:line="360" w:lineRule="auto"/>
        <w:jc w:val="both"/>
        <w:rPr>
          <w:rFonts w:ascii="Times New Roman" w:hAnsi="Times New Roman" w:cs="Times New Roman"/>
        </w:rPr>
      </w:pPr>
      <w:r w:rsidRPr="00287465">
        <w:rPr>
          <w:rFonts w:ascii="Times New Roman" w:hAnsi="Times New Roman" w:cs="Times New Roman"/>
        </w:rPr>
        <w:lastRenderedPageBreak/>
        <w:t>It is not helpful</w:t>
      </w:r>
      <w:r w:rsidR="009D59BC" w:rsidRPr="00287465">
        <w:rPr>
          <w:rFonts w:ascii="Times New Roman" w:hAnsi="Times New Roman" w:cs="Times New Roman"/>
        </w:rPr>
        <w:t xml:space="preserve"> to speculate about future</w:t>
      </w:r>
      <w:r w:rsidR="00327AED" w:rsidRPr="00287465">
        <w:rPr>
          <w:rFonts w:ascii="Times New Roman" w:hAnsi="Times New Roman" w:cs="Times New Roman"/>
        </w:rPr>
        <w:t xml:space="preserve"> housing land supply.</w:t>
      </w:r>
      <w:r w:rsidR="009D59BC" w:rsidRPr="00287465">
        <w:rPr>
          <w:rFonts w:ascii="Times New Roman" w:hAnsi="Times New Roman" w:cs="Times New Roman"/>
        </w:rPr>
        <w:t xml:space="preserve"> </w:t>
      </w:r>
      <w:r w:rsidR="00610A7C" w:rsidRPr="00287465">
        <w:rPr>
          <w:rFonts w:ascii="Times New Roman" w:hAnsi="Times New Roman" w:cs="Times New Roman"/>
        </w:rPr>
        <w:t>W</w:t>
      </w:r>
      <w:r w:rsidR="009D59BC" w:rsidRPr="00287465">
        <w:rPr>
          <w:rFonts w:ascii="Times New Roman" w:hAnsi="Times New Roman" w:cs="Times New Roman"/>
        </w:rPr>
        <w:t>hether some of it comes from appeals</w:t>
      </w:r>
      <w:r w:rsidR="00623E1C" w:rsidRPr="00287465">
        <w:rPr>
          <w:rFonts w:ascii="Times New Roman" w:hAnsi="Times New Roman" w:cs="Times New Roman"/>
        </w:rPr>
        <w:t xml:space="preserve"> is not relevant</w:t>
      </w:r>
      <w:r w:rsidR="00610A7C" w:rsidRPr="00287465">
        <w:rPr>
          <w:rFonts w:ascii="Times New Roman" w:hAnsi="Times New Roman" w:cs="Times New Roman"/>
        </w:rPr>
        <w:t xml:space="preserve"> to the Inspector’s deliberations. </w:t>
      </w:r>
      <w:r w:rsidR="00134CEA" w:rsidRPr="00287465">
        <w:rPr>
          <w:rFonts w:ascii="Times New Roman" w:hAnsi="Times New Roman" w:cs="Times New Roman"/>
        </w:rPr>
        <w:t>The Appellant has referred to other Inspectors’ decisions which can be distinguished on their facts and the weight of factors in the planning balance.</w:t>
      </w:r>
    </w:p>
    <w:p w14:paraId="603E9C97" w14:textId="77777777" w:rsidR="009D59BC" w:rsidRPr="00830F29" w:rsidRDefault="009D59BC" w:rsidP="00830F29">
      <w:pPr>
        <w:spacing w:line="360" w:lineRule="auto"/>
        <w:jc w:val="both"/>
        <w:rPr>
          <w:rFonts w:ascii="Times New Roman" w:hAnsi="Times New Roman" w:cs="Times New Roman"/>
        </w:rPr>
      </w:pPr>
    </w:p>
    <w:p w14:paraId="1DEB1699" w14:textId="140F5778" w:rsidR="009D59BC" w:rsidRPr="00DD35BD" w:rsidRDefault="00713171" w:rsidP="000609E9">
      <w:pPr>
        <w:pStyle w:val="ListParagraph"/>
        <w:numPr>
          <w:ilvl w:val="0"/>
          <w:numId w:val="5"/>
        </w:numPr>
        <w:spacing w:line="360" w:lineRule="auto"/>
        <w:jc w:val="both"/>
        <w:rPr>
          <w:rFonts w:ascii="Times New Roman" w:hAnsi="Times New Roman" w:cs="Times New Roman"/>
        </w:rPr>
      </w:pPr>
      <w:r>
        <w:rPr>
          <w:rFonts w:ascii="Times New Roman" w:hAnsi="Times New Roman" w:cs="Times New Roman"/>
        </w:rPr>
        <w:t xml:space="preserve">The </w:t>
      </w:r>
      <w:r w:rsidR="009C0735">
        <w:rPr>
          <w:rFonts w:ascii="Times New Roman" w:hAnsi="Times New Roman" w:cs="Times New Roman"/>
        </w:rPr>
        <w:t>important</w:t>
      </w:r>
      <w:r>
        <w:rPr>
          <w:rFonts w:ascii="Times New Roman" w:hAnsi="Times New Roman" w:cs="Times New Roman"/>
        </w:rPr>
        <w:t xml:space="preserve"> point at this </w:t>
      </w:r>
      <w:r w:rsidR="00903C9B">
        <w:rPr>
          <w:rFonts w:ascii="Times New Roman" w:hAnsi="Times New Roman" w:cs="Times New Roman"/>
        </w:rPr>
        <w:t>i</w:t>
      </w:r>
      <w:r>
        <w:rPr>
          <w:rFonts w:ascii="Times New Roman" w:hAnsi="Times New Roman" w:cs="Times New Roman"/>
        </w:rPr>
        <w:t>nquiry is that b</w:t>
      </w:r>
      <w:r w:rsidR="00CF4698">
        <w:rPr>
          <w:rFonts w:ascii="Times New Roman" w:hAnsi="Times New Roman" w:cs="Times New Roman"/>
        </w:rPr>
        <w:t xml:space="preserve">oth parties agree that </w:t>
      </w:r>
      <w:r w:rsidR="001D6DF7">
        <w:rPr>
          <w:rFonts w:ascii="Times New Roman" w:hAnsi="Times New Roman" w:cs="Times New Roman"/>
        </w:rPr>
        <w:t xml:space="preserve">very </w:t>
      </w:r>
      <w:r w:rsidR="00CF4698">
        <w:rPr>
          <w:rFonts w:ascii="Times New Roman" w:hAnsi="Times New Roman" w:cs="Times New Roman"/>
        </w:rPr>
        <w:t xml:space="preserve">substantial weight should be given to </w:t>
      </w:r>
      <w:r w:rsidR="001D6DF7">
        <w:rPr>
          <w:rFonts w:ascii="Times New Roman" w:hAnsi="Times New Roman" w:cs="Times New Roman"/>
        </w:rPr>
        <w:t>the proposed housing provision.</w:t>
      </w:r>
    </w:p>
    <w:p w14:paraId="5ECE9D68" w14:textId="77777777" w:rsidR="009D59BC" w:rsidRPr="00DD35BD" w:rsidRDefault="009D59BC" w:rsidP="000609E9">
      <w:pPr>
        <w:spacing w:line="360" w:lineRule="auto"/>
        <w:jc w:val="both"/>
        <w:rPr>
          <w:rFonts w:ascii="Times New Roman" w:hAnsi="Times New Roman" w:cs="Times New Roman"/>
        </w:rPr>
      </w:pPr>
    </w:p>
    <w:p w14:paraId="7B095895" w14:textId="701985CD" w:rsidR="009D59BC" w:rsidRPr="00DD35BD" w:rsidRDefault="00BC1613" w:rsidP="000609E9">
      <w:pPr>
        <w:spacing w:line="360" w:lineRule="auto"/>
        <w:jc w:val="both"/>
        <w:rPr>
          <w:rFonts w:ascii="Times New Roman" w:hAnsi="Times New Roman" w:cs="Times New Roman"/>
          <w:u w:val="single"/>
        </w:rPr>
      </w:pPr>
      <w:r>
        <w:rPr>
          <w:rFonts w:ascii="Times New Roman" w:hAnsi="Times New Roman" w:cs="Times New Roman"/>
          <w:u w:val="single"/>
        </w:rPr>
        <w:t xml:space="preserve">Appropriate </w:t>
      </w:r>
      <w:r w:rsidR="009D59BC" w:rsidRPr="00DD35BD">
        <w:rPr>
          <w:rFonts w:ascii="Times New Roman" w:hAnsi="Times New Roman" w:cs="Times New Roman"/>
          <w:u w:val="single"/>
        </w:rPr>
        <w:t>Mix</w:t>
      </w:r>
    </w:p>
    <w:p w14:paraId="696CB54E" w14:textId="77777777" w:rsidR="009D59BC" w:rsidRPr="00DD35BD" w:rsidRDefault="009D59BC" w:rsidP="000609E9">
      <w:pPr>
        <w:pStyle w:val="ListParagraph"/>
        <w:spacing w:line="360" w:lineRule="auto"/>
        <w:jc w:val="both"/>
        <w:rPr>
          <w:rFonts w:ascii="Times New Roman" w:hAnsi="Times New Roman" w:cs="Times New Roman"/>
        </w:rPr>
      </w:pPr>
    </w:p>
    <w:p w14:paraId="3FF84E80" w14:textId="6E974676" w:rsidR="008D2EBB" w:rsidRPr="00066210" w:rsidRDefault="00613883" w:rsidP="00066210">
      <w:pPr>
        <w:pStyle w:val="ListParagraph"/>
        <w:numPr>
          <w:ilvl w:val="0"/>
          <w:numId w:val="5"/>
        </w:numPr>
        <w:spacing w:line="360" w:lineRule="auto"/>
        <w:jc w:val="both"/>
        <w:rPr>
          <w:rFonts w:ascii="Times New Roman" w:hAnsi="Times New Roman" w:cs="Times New Roman"/>
        </w:rPr>
      </w:pPr>
      <w:r w:rsidRPr="00066210">
        <w:rPr>
          <w:rFonts w:ascii="Times New Roman" w:hAnsi="Times New Roman" w:cs="Times New Roman"/>
        </w:rPr>
        <w:t>Policy H10</w:t>
      </w:r>
      <w:r w:rsidR="006479C7">
        <w:rPr>
          <w:rStyle w:val="FootnoteReference"/>
          <w:rFonts w:ascii="Times New Roman" w:hAnsi="Times New Roman" w:cs="Times New Roman"/>
        </w:rPr>
        <w:footnoteReference w:id="11"/>
      </w:r>
      <w:r w:rsidR="00476D7D" w:rsidRPr="00066210">
        <w:rPr>
          <w:rFonts w:ascii="Times New Roman" w:hAnsi="Times New Roman" w:cs="Times New Roman"/>
        </w:rPr>
        <w:t xml:space="preserve"> of the London Plan </w:t>
      </w:r>
      <w:r w:rsidR="00092C3F" w:rsidRPr="00066210">
        <w:rPr>
          <w:rFonts w:ascii="Times New Roman" w:hAnsi="Times New Roman" w:cs="Times New Roman"/>
        </w:rPr>
        <w:t>provides that</w:t>
      </w:r>
      <w:r w:rsidRPr="00066210">
        <w:rPr>
          <w:rFonts w:ascii="Times New Roman" w:hAnsi="Times New Roman" w:cs="Times New Roman"/>
        </w:rPr>
        <w:t xml:space="preserve"> </w:t>
      </w:r>
      <w:r w:rsidR="00092C3F" w:rsidRPr="00066210">
        <w:rPr>
          <w:rFonts w:ascii="Times New Roman" w:hAnsi="Times New Roman" w:cs="Times New Roman"/>
        </w:rPr>
        <w:t>“</w:t>
      </w:r>
      <w:r w:rsidR="00092C3F" w:rsidRPr="00066210">
        <w:rPr>
          <w:rFonts w:ascii="Times New Roman" w:hAnsi="Times New Roman" w:cs="Times New Roman"/>
          <w:i/>
          <w:iCs/>
        </w:rPr>
        <w:t>schemes should generally consist of a range of unit sizes</w:t>
      </w:r>
      <w:r w:rsidR="00092C3F" w:rsidRPr="00066210">
        <w:rPr>
          <w:rFonts w:ascii="Times New Roman" w:hAnsi="Times New Roman" w:cs="Times New Roman"/>
        </w:rPr>
        <w:t>”</w:t>
      </w:r>
      <w:r w:rsidR="006479C7" w:rsidRPr="00066210">
        <w:rPr>
          <w:rFonts w:ascii="Times New Roman" w:hAnsi="Times New Roman" w:cs="Times New Roman"/>
        </w:rPr>
        <w:t xml:space="preserve">. </w:t>
      </w:r>
      <w:r w:rsidR="00203881" w:rsidRPr="00066210">
        <w:rPr>
          <w:rFonts w:ascii="Times New Roman" w:hAnsi="Times New Roman" w:cs="Times New Roman"/>
        </w:rPr>
        <w:t>The supporting text</w:t>
      </w:r>
      <w:r w:rsidR="006479C7">
        <w:rPr>
          <w:rStyle w:val="FootnoteReference"/>
          <w:rFonts w:ascii="Times New Roman" w:hAnsi="Times New Roman" w:cs="Times New Roman"/>
        </w:rPr>
        <w:footnoteReference w:id="12"/>
      </w:r>
      <w:r w:rsidR="00203881" w:rsidRPr="00066210">
        <w:rPr>
          <w:rFonts w:ascii="Times New Roman" w:hAnsi="Times New Roman" w:cs="Times New Roman"/>
        </w:rPr>
        <w:t xml:space="preserve"> explains that “</w:t>
      </w:r>
      <w:r w:rsidR="00203881" w:rsidRPr="00066210">
        <w:rPr>
          <w:rFonts w:ascii="Times New Roman" w:hAnsi="Times New Roman" w:cs="Times New Roman"/>
          <w:i/>
          <w:iCs/>
        </w:rPr>
        <w:t>one-person and one-bed units are the least flexible unit type so schemes should generally consist of a range of unit sizes</w:t>
      </w:r>
      <w:r w:rsidR="00203881" w:rsidRPr="00066210">
        <w:rPr>
          <w:rFonts w:ascii="Times New Roman" w:hAnsi="Times New Roman" w:cs="Times New Roman"/>
        </w:rPr>
        <w:t>.”</w:t>
      </w:r>
      <w:r w:rsidR="00092C3F" w:rsidRPr="00066210">
        <w:rPr>
          <w:rFonts w:ascii="Times New Roman" w:hAnsi="Times New Roman" w:cs="Times New Roman"/>
        </w:rPr>
        <w:t xml:space="preserve"> </w:t>
      </w:r>
      <w:r w:rsidR="002B32B0" w:rsidRPr="00066210">
        <w:rPr>
          <w:rFonts w:ascii="Times New Roman" w:hAnsi="Times New Roman" w:cs="Times New Roman"/>
        </w:rPr>
        <w:t>The supporting text to Policy 1 of the Local Plan</w:t>
      </w:r>
      <w:r w:rsidR="008A0DBC">
        <w:rPr>
          <w:rStyle w:val="FootnoteReference"/>
          <w:rFonts w:ascii="Times New Roman" w:hAnsi="Times New Roman" w:cs="Times New Roman"/>
        </w:rPr>
        <w:footnoteReference w:id="13"/>
      </w:r>
      <w:r w:rsidR="002B32B0" w:rsidRPr="00066210">
        <w:rPr>
          <w:rFonts w:ascii="Times New Roman" w:hAnsi="Times New Roman" w:cs="Times New Roman"/>
        </w:rPr>
        <w:t xml:space="preserve"> reads </w:t>
      </w:r>
      <w:r w:rsidR="002B32B0" w:rsidRPr="00066210">
        <w:rPr>
          <w:rFonts w:ascii="Times New Roman" w:hAnsi="Times New Roman" w:cs="Times New Roman"/>
          <w:i/>
          <w:iCs/>
        </w:rPr>
        <w:t>“The 2014 SHMA highlights that the highest level of need across tenures within the Borough up to 2031 is for one bedroom units (53%) followed by 2 bedroom (21%) and 3 bedroom (20%) units”.</w:t>
      </w:r>
      <w:r w:rsidR="00ED68F7" w:rsidRPr="00066210">
        <w:rPr>
          <w:rFonts w:ascii="Times New Roman" w:hAnsi="Times New Roman" w:cs="Times New Roman"/>
        </w:rPr>
        <w:t xml:space="preserve"> The supporting text to Policy 2 of the Local Plan</w:t>
      </w:r>
      <w:r w:rsidR="008A0DBC">
        <w:rPr>
          <w:rStyle w:val="FootnoteReference"/>
          <w:rFonts w:ascii="Times New Roman" w:hAnsi="Times New Roman" w:cs="Times New Roman"/>
        </w:rPr>
        <w:footnoteReference w:id="14"/>
      </w:r>
      <w:r w:rsidR="00ED68F7" w:rsidRPr="00066210">
        <w:rPr>
          <w:rFonts w:ascii="Times New Roman" w:hAnsi="Times New Roman" w:cs="Times New Roman"/>
        </w:rPr>
        <w:t xml:space="preserve"> reads “</w:t>
      </w:r>
      <w:r w:rsidR="00ED68F7" w:rsidRPr="00066210">
        <w:rPr>
          <w:rFonts w:ascii="Times New Roman" w:hAnsi="Times New Roman" w:cs="Times New Roman"/>
          <w:i/>
          <w:iCs/>
        </w:rPr>
        <w:t>Sites that trigger the affordable housing policy should provide a mix of unit sizes in light of the information set out in the SHMA which shows a need for 1-3 bedroom units (with 1 and 2 bedroom units having a higher need).</w:t>
      </w:r>
      <w:r w:rsidR="00ED68F7" w:rsidRPr="00066210">
        <w:rPr>
          <w:rFonts w:ascii="Times New Roman" w:hAnsi="Times New Roman" w:cs="Times New Roman"/>
        </w:rPr>
        <w:t>”</w:t>
      </w:r>
      <w:r w:rsidR="00066210" w:rsidRPr="00066210">
        <w:rPr>
          <w:rFonts w:ascii="Times New Roman" w:hAnsi="Times New Roman" w:cs="Times New Roman"/>
        </w:rPr>
        <w:t xml:space="preserve"> Mark Batchelor accepted in cross examination</w:t>
      </w:r>
      <w:r w:rsidR="00066210">
        <w:rPr>
          <w:rStyle w:val="FootnoteReference"/>
          <w:rFonts w:ascii="Times New Roman" w:hAnsi="Times New Roman" w:cs="Times New Roman"/>
        </w:rPr>
        <w:footnoteReference w:id="15"/>
      </w:r>
      <w:r w:rsidR="00066210" w:rsidRPr="00066210">
        <w:rPr>
          <w:rFonts w:ascii="Times New Roman" w:hAnsi="Times New Roman" w:cs="Times New Roman"/>
        </w:rPr>
        <w:t xml:space="preserve"> that Local Plan policies 1 and 2 need to be read in context of the supporting text.</w:t>
      </w:r>
      <w:r w:rsidR="005C3D64">
        <w:rPr>
          <w:rFonts w:ascii="Times New Roman" w:hAnsi="Times New Roman" w:cs="Times New Roman"/>
        </w:rPr>
        <w:t xml:space="preserve"> </w:t>
      </w:r>
      <w:r w:rsidR="00AE6204">
        <w:rPr>
          <w:rFonts w:ascii="Times New Roman" w:hAnsi="Times New Roman" w:cs="Times New Roman"/>
        </w:rPr>
        <w:t>In conclusion, the l</w:t>
      </w:r>
      <w:r w:rsidR="005C3D64">
        <w:rPr>
          <w:rFonts w:ascii="Times New Roman" w:hAnsi="Times New Roman" w:cs="Times New Roman"/>
        </w:rPr>
        <w:t>ack of provision of 3 beds is contrary to London and Local Plan policy.</w:t>
      </w:r>
    </w:p>
    <w:p w14:paraId="756F3627" w14:textId="77777777" w:rsidR="008D2EBB" w:rsidRDefault="008D2EBB" w:rsidP="000609E9">
      <w:pPr>
        <w:pStyle w:val="ListParagraph"/>
        <w:spacing w:line="360" w:lineRule="auto"/>
        <w:jc w:val="both"/>
        <w:rPr>
          <w:rFonts w:ascii="Times New Roman" w:hAnsi="Times New Roman" w:cs="Times New Roman"/>
        </w:rPr>
      </w:pPr>
    </w:p>
    <w:p w14:paraId="07A918A1" w14:textId="024C63C7" w:rsidR="00CE3411" w:rsidRDefault="00CC56E4" w:rsidP="00066210">
      <w:pPr>
        <w:pStyle w:val="ListParagraph"/>
        <w:numPr>
          <w:ilvl w:val="0"/>
          <w:numId w:val="5"/>
        </w:numPr>
        <w:spacing w:line="360" w:lineRule="auto"/>
        <w:jc w:val="both"/>
        <w:rPr>
          <w:rFonts w:ascii="Times New Roman" w:hAnsi="Times New Roman" w:cs="Times New Roman"/>
        </w:rPr>
      </w:pPr>
      <w:r>
        <w:rPr>
          <w:rFonts w:ascii="Times New Roman" w:hAnsi="Times New Roman" w:cs="Times New Roman"/>
        </w:rPr>
        <w:t>Th</w:t>
      </w:r>
      <w:r w:rsidR="00E72F5A">
        <w:rPr>
          <w:rFonts w:ascii="Times New Roman" w:hAnsi="Times New Roman" w:cs="Times New Roman"/>
        </w:rPr>
        <w:t>e need for 3 bed units is set out</w:t>
      </w:r>
      <w:r>
        <w:rPr>
          <w:rFonts w:ascii="Times New Roman" w:hAnsi="Times New Roman" w:cs="Times New Roman"/>
        </w:rPr>
        <w:t xml:space="preserve"> in</w:t>
      </w:r>
      <w:r w:rsidR="00092C3F" w:rsidRPr="002B0F3C">
        <w:rPr>
          <w:rFonts w:ascii="Times New Roman" w:hAnsi="Times New Roman" w:cs="Times New Roman"/>
        </w:rPr>
        <w:t xml:space="preserve"> </w:t>
      </w:r>
      <w:r w:rsidR="00784288" w:rsidRPr="002B0F3C">
        <w:rPr>
          <w:rFonts w:ascii="Times New Roman" w:hAnsi="Times New Roman" w:cs="Times New Roman"/>
        </w:rPr>
        <w:t xml:space="preserve">Ben Johnson’s </w:t>
      </w:r>
      <w:r w:rsidR="00092C3F" w:rsidRPr="002B0F3C">
        <w:rPr>
          <w:rFonts w:ascii="Times New Roman" w:hAnsi="Times New Roman" w:cs="Times New Roman"/>
        </w:rPr>
        <w:t>proof</w:t>
      </w:r>
      <w:r w:rsidR="00011CF7">
        <w:rPr>
          <w:rFonts w:ascii="Times New Roman" w:hAnsi="Times New Roman" w:cs="Times New Roman"/>
        </w:rPr>
        <w:t xml:space="preserve">. </w:t>
      </w:r>
      <w:r w:rsidR="00E8685F">
        <w:rPr>
          <w:rFonts w:ascii="Times New Roman" w:hAnsi="Times New Roman" w:cs="Times New Roman"/>
        </w:rPr>
        <w:t xml:space="preserve">He provides </w:t>
      </w:r>
      <w:r w:rsidR="00E8685F" w:rsidRPr="00332A4F">
        <w:rPr>
          <w:rFonts w:ascii="Times New Roman" w:hAnsi="Times New Roman" w:cs="Times New Roman"/>
        </w:rPr>
        <w:t>at Table 2</w:t>
      </w:r>
      <w:r w:rsidR="00E8685F">
        <w:rPr>
          <w:rStyle w:val="FootnoteReference"/>
          <w:rFonts w:ascii="Times New Roman" w:hAnsi="Times New Roman" w:cs="Times New Roman"/>
        </w:rPr>
        <w:footnoteReference w:id="16"/>
      </w:r>
      <w:r w:rsidR="00E8685F" w:rsidRPr="00332A4F">
        <w:rPr>
          <w:rFonts w:ascii="Times New Roman" w:hAnsi="Times New Roman" w:cs="Times New Roman"/>
        </w:rPr>
        <w:t xml:space="preserve"> the need for 3 bedroom properties across London, which at 14% of demand was only a little behind the demand for two bedroom properties, at 16%. </w:t>
      </w:r>
      <w:r w:rsidR="00011CF7">
        <w:rPr>
          <w:rFonts w:ascii="Times New Roman" w:hAnsi="Times New Roman" w:cs="Times New Roman"/>
        </w:rPr>
        <w:t xml:space="preserve">At Table </w:t>
      </w:r>
      <w:r w:rsidR="0060747A">
        <w:rPr>
          <w:rFonts w:ascii="Times New Roman" w:hAnsi="Times New Roman" w:cs="Times New Roman"/>
        </w:rPr>
        <w:t>1</w:t>
      </w:r>
      <w:r w:rsidR="008A0DBC">
        <w:rPr>
          <w:rStyle w:val="FootnoteReference"/>
          <w:rFonts w:ascii="Times New Roman" w:hAnsi="Times New Roman" w:cs="Times New Roman"/>
        </w:rPr>
        <w:footnoteReference w:id="17"/>
      </w:r>
      <w:r w:rsidR="0060747A">
        <w:rPr>
          <w:rFonts w:ascii="Times New Roman" w:hAnsi="Times New Roman" w:cs="Times New Roman"/>
        </w:rPr>
        <w:t xml:space="preserve"> </w:t>
      </w:r>
      <w:r w:rsidR="00011CF7">
        <w:rPr>
          <w:rFonts w:ascii="Times New Roman" w:hAnsi="Times New Roman" w:cs="Times New Roman"/>
        </w:rPr>
        <w:t>he sets out</w:t>
      </w:r>
      <w:r w:rsidR="00082E5A">
        <w:rPr>
          <w:rFonts w:ascii="Times New Roman" w:hAnsi="Times New Roman" w:cs="Times New Roman"/>
        </w:rPr>
        <w:t xml:space="preserve"> an extract from</w:t>
      </w:r>
      <w:r w:rsidR="00011CF7">
        <w:rPr>
          <w:rFonts w:ascii="Times New Roman" w:hAnsi="Times New Roman" w:cs="Times New Roman"/>
        </w:rPr>
        <w:t xml:space="preserve"> the Bromley Housing Register </w:t>
      </w:r>
      <w:r w:rsidR="00082E5A">
        <w:rPr>
          <w:rFonts w:ascii="Times New Roman" w:hAnsi="Times New Roman" w:cs="Times New Roman"/>
        </w:rPr>
        <w:t>of</w:t>
      </w:r>
      <w:r w:rsidR="00011CF7">
        <w:rPr>
          <w:rFonts w:ascii="Times New Roman" w:hAnsi="Times New Roman" w:cs="Times New Roman"/>
        </w:rPr>
        <w:t xml:space="preserve"> March 2024. </w:t>
      </w:r>
      <w:r w:rsidR="003B202E">
        <w:rPr>
          <w:rFonts w:ascii="Times New Roman" w:hAnsi="Times New Roman" w:cs="Times New Roman"/>
        </w:rPr>
        <w:t xml:space="preserve">There is almost no difference between the need for 2 and 3 bed units. </w:t>
      </w:r>
      <w:r w:rsidR="005F678F">
        <w:rPr>
          <w:rFonts w:ascii="Times New Roman" w:hAnsi="Times New Roman" w:cs="Times New Roman"/>
        </w:rPr>
        <w:t xml:space="preserve">The percentage of </w:t>
      </w:r>
      <w:r w:rsidR="00845DA2">
        <w:rPr>
          <w:rFonts w:ascii="Times New Roman" w:hAnsi="Times New Roman" w:cs="Times New Roman"/>
        </w:rPr>
        <w:t xml:space="preserve">need for </w:t>
      </w:r>
      <w:r w:rsidR="005F678F">
        <w:rPr>
          <w:rFonts w:ascii="Times New Roman" w:hAnsi="Times New Roman" w:cs="Times New Roman"/>
        </w:rPr>
        <w:t>2 bedroom units is 27.8%, and for 3 bedroom units it is 27.2%</w:t>
      </w:r>
      <w:r w:rsidR="00845DA2">
        <w:rPr>
          <w:rFonts w:ascii="Times New Roman" w:hAnsi="Times New Roman" w:cs="Times New Roman"/>
        </w:rPr>
        <w:t xml:space="preserve"> - a difference of </w:t>
      </w:r>
      <w:r w:rsidR="005F678F">
        <w:rPr>
          <w:rFonts w:ascii="Times New Roman" w:hAnsi="Times New Roman" w:cs="Times New Roman"/>
        </w:rPr>
        <w:t xml:space="preserve">0.6%. In cross </w:t>
      </w:r>
      <w:r w:rsidR="005F678F">
        <w:rPr>
          <w:rFonts w:ascii="Times New Roman" w:hAnsi="Times New Roman" w:cs="Times New Roman"/>
        </w:rPr>
        <w:lastRenderedPageBreak/>
        <w:t>examination, M</w:t>
      </w:r>
      <w:r w:rsidR="004C0F16">
        <w:rPr>
          <w:rFonts w:ascii="Times New Roman" w:hAnsi="Times New Roman" w:cs="Times New Roman"/>
        </w:rPr>
        <w:t>ark</w:t>
      </w:r>
      <w:r w:rsidR="005F678F">
        <w:rPr>
          <w:rFonts w:ascii="Times New Roman" w:hAnsi="Times New Roman" w:cs="Times New Roman"/>
        </w:rPr>
        <w:t xml:space="preserve"> Batchelor was asked about how he would describe </w:t>
      </w:r>
      <w:r w:rsidR="005A7853">
        <w:rPr>
          <w:rFonts w:ascii="Times New Roman" w:hAnsi="Times New Roman" w:cs="Times New Roman"/>
        </w:rPr>
        <w:t>the</w:t>
      </w:r>
      <w:r w:rsidR="005F678F">
        <w:rPr>
          <w:rFonts w:ascii="Times New Roman" w:hAnsi="Times New Roman" w:cs="Times New Roman"/>
        </w:rPr>
        <w:t xml:space="preserve"> need for 3 bedrooms at 27.2%</w:t>
      </w:r>
      <w:r w:rsidR="00F74ABE">
        <w:rPr>
          <w:rFonts w:ascii="Times New Roman" w:hAnsi="Times New Roman" w:cs="Times New Roman"/>
        </w:rPr>
        <w:t xml:space="preserve"> by comparison with 2 bed</w:t>
      </w:r>
      <w:r w:rsidR="00066210">
        <w:rPr>
          <w:rFonts w:ascii="Times New Roman" w:hAnsi="Times New Roman" w:cs="Times New Roman"/>
        </w:rPr>
        <w:t>room</w:t>
      </w:r>
      <w:r w:rsidR="00F74ABE">
        <w:rPr>
          <w:rFonts w:ascii="Times New Roman" w:hAnsi="Times New Roman" w:cs="Times New Roman"/>
        </w:rPr>
        <w:t xml:space="preserve"> units</w:t>
      </w:r>
      <w:r w:rsidR="00066210">
        <w:rPr>
          <w:rFonts w:ascii="Times New Roman" w:hAnsi="Times New Roman" w:cs="Times New Roman"/>
        </w:rPr>
        <w:t xml:space="preserve"> at 27.8%</w:t>
      </w:r>
      <w:r w:rsidR="005F678F">
        <w:rPr>
          <w:rFonts w:ascii="Times New Roman" w:hAnsi="Times New Roman" w:cs="Times New Roman"/>
        </w:rPr>
        <w:t xml:space="preserve">. </w:t>
      </w:r>
      <w:r w:rsidR="009102A0">
        <w:rPr>
          <w:rFonts w:ascii="Times New Roman" w:hAnsi="Times New Roman" w:cs="Times New Roman"/>
        </w:rPr>
        <w:t>He didn’t give a clear answer</w:t>
      </w:r>
      <w:r w:rsidR="00177C36">
        <w:rPr>
          <w:rFonts w:ascii="Times New Roman" w:hAnsi="Times New Roman" w:cs="Times New Roman"/>
        </w:rPr>
        <w:t xml:space="preserve">. It was put to him that </w:t>
      </w:r>
      <w:r w:rsidR="00066210">
        <w:rPr>
          <w:rFonts w:ascii="Times New Roman" w:hAnsi="Times New Roman" w:cs="Times New Roman"/>
        </w:rPr>
        <w:t>the difference</w:t>
      </w:r>
      <w:r w:rsidR="00177C36">
        <w:rPr>
          <w:rFonts w:ascii="Times New Roman" w:hAnsi="Times New Roman" w:cs="Times New Roman"/>
        </w:rPr>
        <w:t xml:space="preserve"> was imperceptible</w:t>
      </w:r>
      <w:r w:rsidR="00066210">
        <w:rPr>
          <w:rFonts w:ascii="Times New Roman" w:hAnsi="Times New Roman" w:cs="Times New Roman"/>
        </w:rPr>
        <w:t>,</w:t>
      </w:r>
      <w:r w:rsidR="00177C36">
        <w:rPr>
          <w:rFonts w:ascii="Times New Roman" w:hAnsi="Times New Roman" w:cs="Times New Roman"/>
        </w:rPr>
        <w:t xml:space="preserve"> and he said it was </w:t>
      </w:r>
      <w:r w:rsidR="00066210">
        <w:rPr>
          <w:rFonts w:ascii="Times New Roman" w:hAnsi="Times New Roman" w:cs="Times New Roman"/>
        </w:rPr>
        <w:t xml:space="preserve">a </w:t>
      </w:r>
      <w:r w:rsidR="00177C36">
        <w:rPr>
          <w:rFonts w:ascii="Times New Roman" w:hAnsi="Times New Roman" w:cs="Times New Roman"/>
        </w:rPr>
        <w:t>small</w:t>
      </w:r>
      <w:r w:rsidR="00066210">
        <w:rPr>
          <w:rFonts w:ascii="Times New Roman" w:hAnsi="Times New Roman" w:cs="Times New Roman"/>
        </w:rPr>
        <w:t xml:space="preserve"> gap</w:t>
      </w:r>
      <w:r w:rsidR="001C2C9B">
        <w:rPr>
          <w:rStyle w:val="FootnoteReference"/>
          <w:rFonts w:ascii="Times New Roman" w:hAnsi="Times New Roman" w:cs="Times New Roman"/>
        </w:rPr>
        <w:footnoteReference w:id="18"/>
      </w:r>
      <w:r w:rsidR="00177C36">
        <w:rPr>
          <w:rFonts w:ascii="Times New Roman" w:hAnsi="Times New Roman" w:cs="Times New Roman"/>
        </w:rPr>
        <w:t>.</w:t>
      </w:r>
      <w:r w:rsidR="005F678F">
        <w:rPr>
          <w:rFonts w:ascii="Times New Roman" w:hAnsi="Times New Roman" w:cs="Times New Roman"/>
        </w:rPr>
        <w:t xml:space="preserve"> </w:t>
      </w:r>
      <w:r w:rsidR="00196868">
        <w:rPr>
          <w:rFonts w:ascii="Times New Roman" w:hAnsi="Times New Roman" w:cs="Times New Roman"/>
        </w:rPr>
        <w:t>The simple and correct position is that set out by Ben Johnson in his proof</w:t>
      </w:r>
      <w:r w:rsidR="008A0DBC">
        <w:rPr>
          <w:rStyle w:val="FootnoteReference"/>
          <w:rFonts w:ascii="Times New Roman" w:hAnsi="Times New Roman" w:cs="Times New Roman"/>
        </w:rPr>
        <w:footnoteReference w:id="19"/>
      </w:r>
      <w:r w:rsidR="00196868">
        <w:rPr>
          <w:rFonts w:ascii="Times New Roman" w:hAnsi="Times New Roman" w:cs="Times New Roman"/>
        </w:rPr>
        <w:t>: “</w:t>
      </w:r>
      <w:r w:rsidR="00196868" w:rsidRPr="00196868">
        <w:rPr>
          <w:rFonts w:ascii="Times New Roman" w:hAnsi="Times New Roman" w:cs="Times New Roman"/>
          <w:i/>
          <w:iCs/>
        </w:rPr>
        <w:t>Thi</w:t>
      </w:r>
      <w:r w:rsidR="00011CF7" w:rsidRPr="00196868">
        <w:rPr>
          <w:rFonts w:ascii="Times New Roman" w:hAnsi="Times New Roman" w:cs="Times New Roman"/>
          <w:i/>
          <w:iCs/>
        </w:rPr>
        <w:t>s information is helpful to illustrate that there is a continuing and increasing need for three bedroom units, essentially equal to the need for two bedroom units.</w:t>
      </w:r>
      <w:r w:rsidR="00196868" w:rsidRPr="00196868">
        <w:rPr>
          <w:rFonts w:ascii="Times New Roman" w:hAnsi="Times New Roman" w:cs="Times New Roman"/>
          <w:i/>
          <w:iCs/>
        </w:rPr>
        <w:t>”</w:t>
      </w:r>
      <w:r w:rsidR="00332A4F">
        <w:rPr>
          <w:rFonts w:ascii="Times New Roman" w:hAnsi="Times New Roman" w:cs="Times New Roman"/>
        </w:rPr>
        <w:t xml:space="preserve"> </w:t>
      </w:r>
    </w:p>
    <w:p w14:paraId="3AD68AEE" w14:textId="77777777" w:rsidR="00840DA5" w:rsidRPr="00066210" w:rsidRDefault="00840DA5" w:rsidP="00066210">
      <w:pPr>
        <w:spacing w:line="360" w:lineRule="auto"/>
        <w:jc w:val="both"/>
        <w:rPr>
          <w:rFonts w:ascii="Times New Roman" w:hAnsi="Times New Roman" w:cs="Times New Roman"/>
        </w:rPr>
      </w:pPr>
    </w:p>
    <w:p w14:paraId="434C1918" w14:textId="3B0736E1" w:rsidR="009D2F95" w:rsidRPr="00CE79BF" w:rsidRDefault="00066210" w:rsidP="00CE79BF">
      <w:pPr>
        <w:pStyle w:val="ListParagraph"/>
        <w:numPr>
          <w:ilvl w:val="0"/>
          <w:numId w:val="5"/>
        </w:numPr>
        <w:spacing w:line="360" w:lineRule="auto"/>
        <w:jc w:val="both"/>
        <w:rPr>
          <w:rFonts w:ascii="Times New Roman" w:hAnsi="Times New Roman" w:cs="Times New Roman"/>
        </w:rPr>
      </w:pPr>
      <w:r>
        <w:rPr>
          <w:rFonts w:ascii="Times New Roman" w:hAnsi="Times New Roman" w:cs="Times New Roman"/>
        </w:rPr>
        <w:t xml:space="preserve">It is clear the Appellants never intended to include 3 beds in this scheme. </w:t>
      </w:r>
      <w:r w:rsidR="00A65210" w:rsidRPr="008A3F52">
        <w:rPr>
          <w:rFonts w:ascii="Times New Roman" w:hAnsi="Times New Roman" w:cs="Times New Roman"/>
        </w:rPr>
        <w:t xml:space="preserve">Helpfully, </w:t>
      </w:r>
      <w:r w:rsidR="000A52D0">
        <w:rPr>
          <w:rFonts w:ascii="Times New Roman" w:hAnsi="Times New Roman" w:cs="Times New Roman"/>
        </w:rPr>
        <w:t>Ramsay</w:t>
      </w:r>
      <w:r w:rsidR="00380674" w:rsidRPr="008A3F52">
        <w:rPr>
          <w:rFonts w:ascii="Times New Roman" w:hAnsi="Times New Roman" w:cs="Times New Roman"/>
        </w:rPr>
        <w:t xml:space="preserve"> Evans </w:t>
      </w:r>
      <w:r w:rsidR="00A65210" w:rsidRPr="008A3F52">
        <w:rPr>
          <w:rFonts w:ascii="Times New Roman" w:hAnsi="Times New Roman" w:cs="Times New Roman"/>
        </w:rPr>
        <w:t xml:space="preserve">confirmed </w:t>
      </w:r>
      <w:r w:rsidR="002B18C6" w:rsidRPr="008A3F52">
        <w:rPr>
          <w:rFonts w:ascii="Times New Roman" w:hAnsi="Times New Roman" w:cs="Times New Roman"/>
        </w:rPr>
        <w:t>in cross examination</w:t>
      </w:r>
      <w:r w:rsidR="00207802">
        <w:rPr>
          <w:rStyle w:val="FootnoteReference"/>
          <w:rFonts w:ascii="Times New Roman" w:hAnsi="Times New Roman" w:cs="Times New Roman"/>
        </w:rPr>
        <w:footnoteReference w:id="20"/>
      </w:r>
      <w:r w:rsidR="002B18C6" w:rsidRPr="008A3F52">
        <w:rPr>
          <w:rFonts w:ascii="Times New Roman" w:hAnsi="Times New Roman" w:cs="Times New Roman"/>
        </w:rPr>
        <w:t xml:space="preserve"> </w:t>
      </w:r>
      <w:r w:rsidR="00A65210" w:rsidRPr="008A3F52">
        <w:rPr>
          <w:rFonts w:ascii="Times New Roman" w:hAnsi="Times New Roman" w:cs="Times New Roman"/>
        </w:rPr>
        <w:t xml:space="preserve">that he </w:t>
      </w:r>
      <w:r w:rsidR="00380674" w:rsidRPr="008A3F52">
        <w:rPr>
          <w:rFonts w:ascii="Times New Roman" w:hAnsi="Times New Roman" w:cs="Times New Roman"/>
        </w:rPr>
        <w:t xml:space="preserve">hadn’t undertaken </w:t>
      </w:r>
      <w:r w:rsidR="002B18C6" w:rsidRPr="008A3F52">
        <w:rPr>
          <w:rFonts w:ascii="Times New Roman" w:hAnsi="Times New Roman" w:cs="Times New Roman"/>
        </w:rPr>
        <w:t xml:space="preserve">a </w:t>
      </w:r>
      <w:r w:rsidR="00380674" w:rsidRPr="008A3F52">
        <w:rPr>
          <w:rFonts w:ascii="Times New Roman" w:hAnsi="Times New Roman" w:cs="Times New Roman"/>
        </w:rPr>
        <w:t>viability analysis of</w:t>
      </w:r>
      <w:r w:rsidR="002B18C6" w:rsidRPr="008A3F52">
        <w:rPr>
          <w:rFonts w:ascii="Times New Roman" w:hAnsi="Times New Roman" w:cs="Times New Roman"/>
        </w:rPr>
        <w:t xml:space="preserve"> the inclusion of</w:t>
      </w:r>
      <w:r w:rsidR="00380674" w:rsidRPr="008A3F52">
        <w:rPr>
          <w:rFonts w:ascii="Times New Roman" w:hAnsi="Times New Roman" w:cs="Times New Roman"/>
        </w:rPr>
        <w:t xml:space="preserve"> 3 bed</w:t>
      </w:r>
      <w:r w:rsidR="002B18C6" w:rsidRPr="008A3F52">
        <w:rPr>
          <w:rFonts w:ascii="Times New Roman" w:hAnsi="Times New Roman" w:cs="Times New Roman"/>
        </w:rPr>
        <w:t xml:space="preserve"> units</w:t>
      </w:r>
      <w:r w:rsidR="00F36FFA" w:rsidRPr="008A3F52">
        <w:rPr>
          <w:rFonts w:ascii="Times New Roman" w:hAnsi="Times New Roman" w:cs="Times New Roman"/>
        </w:rPr>
        <w:t>.</w:t>
      </w:r>
      <w:r w:rsidR="00A14F02">
        <w:rPr>
          <w:rFonts w:ascii="Times New Roman" w:hAnsi="Times New Roman" w:cs="Times New Roman"/>
        </w:rPr>
        <w:t xml:space="preserve"> </w:t>
      </w:r>
      <w:r w:rsidR="00207802">
        <w:rPr>
          <w:rFonts w:ascii="Times New Roman" w:hAnsi="Times New Roman" w:cs="Times New Roman"/>
        </w:rPr>
        <w:t xml:space="preserve">Richard </w:t>
      </w:r>
      <w:r w:rsidR="00A14F02" w:rsidRPr="00A14F02">
        <w:rPr>
          <w:rFonts w:ascii="Times New Roman" w:hAnsi="Times New Roman" w:cs="Times New Roman"/>
        </w:rPr>
        <w:t>Hammond</w:t>
      </w:r>
      <w:r w:rsidR="00207802">
        <w:rPr>
          <w:rFonts w:ascii="Times New Roman" w:hAnsi="Times New Roman" w:cs="Times New Roman"/>
        </w:rPr>
        <w:t xml:space="preserve"> </w:t>
      </w:r>
      <w:r w:rsidR="00A14F02" w:rsidRPr="00A14F02">
        <w:rPr>
          <w:rFonts w:ascii="Times New Roman" w:hAnsi="Times New Roman" w:cs="Times New Roman"/>
        </w:rPr>
        <w:t xml:space="preserve">said </w:t>
      </w:r>
      <w:r w:rsidR="00A14F02">
        <w:rPr>
          <w:rFonts w:ascii="Times New Roman" w:hAnsi="Times New Roman" w:cs="Times New Roman"/>
        </w:rPr>
        <w:t>during the Townscape R</w:t>
      </w:r>
      <w:r w:rsidR="00A14F02" w:rsidRPr="00A14F02">
        <w:rPr>
          <w:rFonts w:ascii="Times New Roman" w:hAnsi="Times New Roman" w:cs="Times New Roman"/>
        </w:rPr>
        <w:t>oun</w:t>
      </w:r>
      <w:r w:rsidR="00840DA5">
        <w:rPr>
          <w:rFonts w:ascii="Times New Roman" w:hAnsi="Times New Roman" w:cs="Times New Roman"/>
        </w:rPr>
        <w:t>d</w:t>
      </w:r>
      <w:r w:rsidR="00A14F02" w:rsidRPr="00A14F02">
        <w:rPr>
          <w:rFonts w:ascii="Times New Roman" w:hAnsi="Times New Roman" w:cs="Times New Roman"/>
        </w:rPr>
        <w:t>table</w:t>
      </w:r>
      <w:r w:rsidR="00840DA5">
        <w:rPr>
          <w:rStyle w:val="FootnoteReference"/>
          <w:rFonts w:ascii="Times New Roman" w:hAnsi="Times New Roman" w:cs="Times New Roman"/>
        </w:rPr>
        <w:footnoteReference w:id="21"/>
      </w:r>
      <w:r w:rsidR="00A14F02" w:rsidRPr="00A14F02">
        <w:rPr>
          <w:rFonts w:ascii="Times New Roman" w:hAnsi="Times New Roman" w:cs="Times New Roman"/>
        </w:rPr>
        <w:t xml:space="preserve"> that he had</w:t>
      </w:r>
      <w:r w:rsidR="00A14F02">
        <w:rPr>
          <w:rFonts w:ascii="Times New Roman" w:hAnsi="Times New Roman" w:cs="Times New Roman"/>
        </w:rPr>
        <w:t xml:space="preserve"> not</w:t>
      </w:r>
      <w:r w:rsidR="00A14F02" w:rsidRPr="00A14F02">
        <w:rPr>
          <w:rFonts w:ascii="Times New Roman" w:hAnsi="Times New Roman" w:cs="Times New Roman"/>
        </w:rPr>
        <w:t xml:space="preserve"> been given a brief for 3 bed</w:t>
      </w:r>
      <w:r w:rsidR="00A14F02">
        <w:rPr>
          <w:rFonts w:ascii="Times New Roman" w:hAnsi="Times New Roman" w:cs="Times New Roman"/>
        </w:rPr>
        <w:t>s,</w:t>
      </w:r>
      <w:r w:rsidR="00A14F02" w:rsidRPr="00A14F02">
        <w:rPr>
          <w:rFonts w:ascii="Times New Roman" w:hAnsi="Times New Roman" w:cs="Times New Roman"/>
        </w:rPr>
        <w:t xml:space="preserve"> </w:t>
      </w:r>
      <w:r w:rsidR="000A03B1">
        <w:rPr>
          <w:rFonts w:ascii="Times New Roman" w:hAnsi="Times New Roman" w:cs="Times New Roman"/>
        </w:rPr>
        <w:t xml:space="preserve">also </w:t>
      </w:r>
      <w:r w:rsidR="008960D6">
        <w:rPr>
          <w:rFonts w:ascii="Times New Roman" w:hAnsi="Times New Roman" w:cs="Times New Roman"/>
        </w:rPr>
        <w:t xml:space="preserve">his </w:t>
      </w:r>
      <w:r w:rsidR="00A14F02" w:rsidRPr="00A14F02">
        <w:rPr>
          <w:rFonts w:ascii="Times New Roman" w:hAnsi="Times New Roman" w:cs="Times New Roman"/>
        </w:rPr>
        <w:t>brief</w:t>
      </w:r>
      <w:r w:rsidR="008960D6">
        <w:rPr>
          <w:rFonts w:ascii="Times New Roman" w:hAnsi="Times New Roman" w:cs="Times New Roman"/>
        </w:rPr>
        <w:t xml:space="preserve"> was</w:t>
      </w:r>
      <w:r w:rsidR="00A14F02" w:rsidRPr="00A14F02">
        <w:rPr>
          <w:rFonts w:ascii="Times New Roman" w:hAnsi="Times New Roman" w:cs="Times New Roman"/>
        </w:rPr>
        <w:t xml:space="preserve"> specifically for 1-2 bed</w:t>
      </w:r>
      <w:r w:rsidR="00EF7058">
        <w:rPr>
          <w:rFonts w:ascii="Times New Roman" w:hAnsi="Times New Roman" w:cs="Times New Roman"/>
        </w:rPr>
        <w:t xml:space="preserve">s. </w:t>
      </w:r>
      <w:r w:rsidR="00CE79BF">
        <w:rPr>
          <w:rFonts w:ascii="Times New Roman" w:hAnsi="Times New Roman" w:cs="Times New Roman"/>
        </w:rPr>
        <w:t>I</w:t>
      </w:r>
      <w:r w:rsidR="009D2F95" w:rsidRPr="00CE79BF">
        <w:rPr>
          <w:rFonts w:ascii="Times New Roman" w:hAnsi="Times New Roman" w:cs="Times New Roman"/>
        </w:rPr>
        <w:t>t is material that this development has no 3 bedroom properties in breach of policy requirements.</w:t>
      </w:r>
    </w:p>
    <w:p w14:paraId="6B7608A8" w14:textId="77777777" w:rsidR="00F36FFA" w:rsidRPr="00DD35BD" w:rsidRDefault="00F36FFA" w:rsidP="000609E9">
      <w:pPr>
        <w:pStyle w:val="ListParagraph"/>
        <w:spacing w:line="360" w:lineRule="auto"/>
        <w:jc w:val="both"/>
        <w:rPr>
          <w:rFonts w:ascii="Times New Roman" w:hAnsi="Times New Roman" w:cs="Times New Roman"/>
        </w:rPr>
      </w:pPr>
    </w:p>
    <w:p w14:paraId="3CCFAA24" w14:textId="1E2EEA6F" w:rsidR="004C0069" w:rsidRPr="00DD35BD" w:rsidRDefault="004C0069" w:rsidP="000609E9">
      <w:pPr>
        <w:spacing w:line="360" w:lineRule="auto"/>
        <w:jc w:val="both"/>
        <w:rPr>
          <w:rFonts w:ascii="Times New Roman" w:hAnsi="Times New Roman" w:cs="Times New Roman"/>
          <w:u w:val="single"/>
        </w:rPr>
      </w:pPr>
      <w:r w:rsidRPr="00DD35BD">
        <w:rPr>
          <w:rFonts w:ascii="Times New Roman" w:hAnsi="Times New Roman" w:cs="Times New Roman"/>
          <w:u w:val="single"/>
        </w:rPr>
        <w:t>Affordable Housing</w:t>
      </w:r>
    </w:p>
    <w:p w14:paraId="5F8772D3" w14:textId="77777777" w:rsidR="00F36FFA" w:rsidRPr="00DD35BD" w:rsidRDefault="00F36FFA" w:rsidP="000609E9">
      <w:pPr>
        <w:pStyle w:val="ListParagraph"/>
        <w:spacing w:line="360" w:lineRule="auto"/>
        <w:jc w:val="both"/>
        <w:rPr>
          <w:rFonts w:ascii="Times New Roman" w:hAnsi="Times New Roman" w:cs="Times New Roman"/>
        </w:rPr>
      </w:pPr>
    </w:p>
    <w:p w14:paraId="60C09FBC" w14:textId="71BB321D" w:rsidR="00840DA5" w:rsidRPr="00240B86" w:rsidRDefault="00EF5890" w:rsidP="00066210">
      <w:pPr>
        <w:pStyle w:val="ListParagraph"/>
        <w:numPr>
          <w:ilvl w:val="0"/>
          <w:numId w:val="5"/>
        </w:numPr>
        <w:spacing w:line="360" w:lineRule="auto"/>
        <w:jc w:val="both"/>
        <w:rPr>
          <w:rFonts w:ascii="Times New Roman" w:hAnsi="Times New Roman" w:cs="Times New Roman"/>
        </w:rPr>
      </w:pPr>
      <w:r>
        <w:rPr>
          <w:rFonts w:ascii="Times New Roman" w:hAnsi="Times New Roman" w:cs="Times New Roman"/>
        </w:rPr>
        <w:t xml:space="preserve">Both parties agree substantial weight should be given to </w:t>
      </w:r>
      <w:r w:rsidR="00EC0164">
        <w:rPr>
          <w:rFonts w:ascii="Times New Roman" w:hAnsi="Times New Roman" w:cs="Times New Roman"/>
        </w:rPr>
        <w:t xml:space="preserve">the provision of </w:t>
      </w:r>
      <w:r>
        <w:rPr>
          <w:rFonts w:ascii="Times New Roman" w:hAnsi="Times New Roman" w:cs="Times New Roman"/>
        </w:rPr>
        <w:t xml:space="preserve">affordable housing. </w:t>
      </w:r>
      <w:r w:rsidR="007A3F21">
        <w:rPr>
          <w:rFonts w:ascii="Times New Roman" w:hAnsi="Times New Roman" w:cs="Times New Roman"/>
        </w:rPr>
        <w:t>Annie</w:t>
      </w:r>
      <w:r w:rsidR="00A65210">
        <w:rPr>
          <w:rFonts w:ascii="Times New Roman" w:hAnsi="Times New Roman" w:cs="Times New Roman"/>
        </w:rPr>
        <w:t xml:space="preserve"> </w:t>
      </w:r>
      <w:proofErr w:type="spellStart"/>
      <w:r w:rsidR="00A65210">
        <w:rPr>
          <w:rFonts w:ascii="Times New Roman" w:hAnsi="Times New Roman" w:cs="Times New Roman"/>
        </w:rPr>
        <w:t>Gingell</w:t>
      </w:r>
      <w:proofErr w:type="spellEnd"/>
      <w:r w:rsidR="00A65210">
        <w:rPr>
          <w:rFonts w:ascii="Times New Roman" w:hAnsi="Times New Roman" w:cs="Times New Roman"/>
        </w:rPr>
        <w:t xml:space="preserve"> </w:t>
      </w:r>
      <w:r>
        <w:rPr>
          <w:rFonts w:ascii="Times New Roman" w:hAnsi="Times New Roman" w:cs="Times New Roman"/>
        </w:rPr>
        <w:t>agreed in cross examination</w:t>
      </w:r>
      <w:r w:rsidR="00840DA5">
        <w:rPr>
          <w:rStyle w:val="FootnoteReference"/>
          <w:rFonts w:ascii="Times New Roman" w:hAnsi="Times New Roman" w:cs="Times New Roman"/>
        </w:rPr>
        <w:footnoteReference w:id="22"/>
      </w:r>
      <w:r>
        <w:rPr>
          <w:rFonts w:ascii="Times New Roman" w:hAnsi="Times New Roman" w:cs="Times New Roman"/>
        </w:rPr>
        <w:t xml:space="preserve"> that this weight needs to be </w:t>
      </w:r>
      <w:r w:rsidR="00584D71">
        <w:rPr>
          <w:rFonts w:ascii="Times New Roman" w:hAnsi="Times New Roman" w:cs="Times New Roman"/>
        </w:rPr>
        <w:t>considered</w:t>
      </w:r>
      <w:r>
        <w:rPr>
          <w:rFonts w:ascii="Times New Roman" w:hAnsi="Times New Roman" w:cs="Times New Roman"/>
        </w:rPr>
        <w:t xml:space="preserve"> in the planning balance</w:t>
      </w:r>
      <w:r w:rsidR="00584D71">
        <w:rPr>
          <w:rFonts w:ascii="Times New Roman" w:hAnsi="Times New Roman" w:cs="Times New Roman"/>
        </w:rPr>
        <w:t xml:space="preserve"> along with a range of other factors</w:t>
      </w:r>
      <w:r>
        <w:rPr>
          <w:rFonts w:ascii="Times New Roman" w:hAnsi="Times New Roman" w:cs="Times New Roman"/>
        </w:rPr>
        <w:t>.</w:t>
      </w:r>
      <w:r w:rsidR="00430F76">
        <w:rPr>
          <w:rFonts w:ascii="Times New Roman" w:hAnsi="Times New Roman" w:cs="Times New Roman"/>
        </w:rPr>
        <w:t xml:space="preserve"> </w:t>
      </w:r>
      <w:r w:rsidR="00FC2C57">
        <w:rPr>
          <w:rFonts w:ascii="Times New Roman" w:hAnsi="Times New Roman" w:cs="Times New Roman"/>
        </w:rPr>
        <w:t>Further, it</w:t>
      </w:r>
      <w:r w:rsidR="00430F76">
        <w:rPr>
          <w:rFonts w:ascii="Times New Roman" w:hAnsi="Times New Roman" w:cs="Times New Roman"/>
        </w:rPr>
        <w:t xml:space="preserve"> was </w:t>
      </w:r>
      <w:r w:rsidR="00840DA5">
        <w:rPr>
          <w:rFonts w:ascii="Times New Roman" w:hAnsi="Times New Roman" w:cs="Times New Roman"/>
        </w:rPr>
        <w:t>suggested</w:t>
      </w:r>
      <w:r w:rsidR="00430F76">
        <w:rPr>
          <w:rFonts w:ascii="Times New Roman" w:hAnsi="Times New Roman" w:cs="Times New Roman"/>
        </w:rPr>
        <w:t xml:space="preserve"> that </w:t>
      </w:r>
      <w:r w:rsidR="00345B20">
        <w:rPr>
          <w:rFonts w:ascii="Times New Roman" w:hAnsi="Times New Roman" w:cs="Times New Roman"/>
        </w:rPr>
        <w:t>Bromley was not taking any steps to provide affordable housing</w:t>
      </w:r>
      <w:r w:rsidR="00430F76">
        <w:rPr>
          <w:rFonts w:ascii="Times New Roman" w:hAnsi="Times New Roman" w:cs="Times New Roman"/>
        </w:rPr>
        <w:t xml:space="preserve">, but </w:t>
      </w:r>
      <w:r w:rsidR="00EB2F99">
        <w:rPr>
          <w:rFonts w:ascii="Times New Roman" w:hAnsi="Times New Roman" w:cs="Times New Roman"/>
        </w:rPr>
        <w:t>that is not correct.</w:t>
      </w:r>
      <w:r>
        <w:rPr>
          <w:rFonts w:ascii="Times New Roman" w:hAnsi="Times New Roman" w:cs="Times New Roman"/>
        </w:rPr>
        <w:t xml:space="preserve"> It is noteworthy that Bromley has a strategy for providing more affordable homes</w:t>
      </w:r>
      <w:r w:rsidR="003F64E2">
        <w:rPr>
          <w:rFonts w:ascii="Times New Roman" w:hAnsi="Times New Roman" w:cs="Times New Roman"/>
        </w:rPr>
        <w:t>:</w:t>
      </w:r>
      <w:r w:rsidR="00EB2F99">
        <w:rPr>
          <w:rFonts w:ascii="Times New Roman" w:hAnsi="Times New Roman" w:cs="Times New Roman"/>
        </w:rPr>
        <w:t xml:space="preserve"> </w:t>
      </w:r>
      <w:r w:rsidR="007A171E">
        <w:rPr>
          <w:rFonts w:ascii="Times New Roman" w:hAnsi="Times New Roman" w:cs="Times New Roman"/>
        </w:rPr>
        <w:t xml:space="preserve">both </w:t>
      </w:r>
      <w:r w:rsidR="00EB2F99">
        <w:rPr>
          <w:rFonts w:ascii="Times New Roman" w:hAnsi="Times New Roman" w:cs="Times New Roman"/>
        </w:rPr>
        <w:t>the Corporate Strategy</w:t>
      </w:r>
      <w:r w:rsidR="00EB2F99">
        <w:rPr>
          <w:rStyle w:val="FootnoteReference"/>
          <w:rFonts w:ascii="Times New Roman" w:hAnsi="Times New Roman" w:cs="Times New Roman"/>
        </w:rPr>
        <w:footnoteReference w:id="23"/>
      </w:r>
      <w:r w:rsidR="00EB2F99">
        <w:rPr>
          <w:rFonts w:ascii="Times New Roman" w:hAnsi="Times New Roman" w:cs="Times New Roman"/>
        </w:rPr>
        <w:t xml:space="preserve"> </w:t>
      </w:r>
      <w:r w:rsidR="007A171E">
        <w:rPr>
          <w:rFonts w:ascii="Times New Roman" w:hAnsi="Times New Roman" w:cs="Times New Roman"/>
        </w:rPr>
        <w:t>and the Housing Strategy</w:t>
      </w:r>
      <w:r w:rsidR="007A171E">
        <w:rPr>
          <w:rStyle w:val="FootnoteReference"/>
          <w:rFonts w:ascii="Times New Roman" w:hAnsi="Times New Roman" w:cs="Times New Roman"/>
        </w:rPr>
        <w:footnoteReference w:id="24"/>
      </w:r>
      <w:r w:rsidR="007A171E">
        <w:rPr>
          <w:rFonts w:ascii="Times New Roman" w:hAnsi="Times New Roman" w:cs="Times New Roman"/>
        </w:rPr>
        <w:t xml:space="preserve"> </w:t>
      </w:r>
      <w:r w:rsidR="003F64E2">
        <w:rPr>
          <w:rFonts w:ascii="Times New Roman" w:hAnsi="Times New Roman" w:cs="Times New Roman"/>
        </w:rPr>
        <w:t>refer to providing 1,000 affordable homes</w:t>
      </w:r>
      <w:r w:rsidR="007A171E">
        <w:rPr>
          <w:rFonts w:ascii="Times New Roman" w:hAnsi="Times New Roman" w:cs="Times New Roman"/>
        </w:rPr>
        <w:t xml:space="preserve">. </w:t>
      </w:r>
      <w:r w:rsidR="00240B86">
        <w:rPr>
          <w:rFonts w:ascii="Times New Roman" w:hAnsi="Times New Roman" w:cs="Times New Roman"/>
        </w:rPr>
        <w:t xml:space="preserve">These are both relatively recent documents. </w:t>
      </w:r>
      <w:r w:rsidR="007A171E">
        <w:rPr>
          <w:rFonts w:ascii="Times New Roman" w:hAnsi="Times New Roman" w:cs="Times New Roman"/>
        </w:rPr>
        <w:t>Th</w:t>
      </w:r>
      <w:r w:rsidR="00240B86">
        <w:rPr>
          <w:rFonts w:ascii="Times New Roman" w:hAnsi="Times New Roman" w:cs="Times New Roman"/>
        </w:rPr>
        <w:t>is</w:t>
      </w:r>
      <w:r w:rsidR="007A171E">
        <w:rPr>
          <w:rFonts w:ascii="Times New Roman" w:hAnsi="Times New Roman" w:cs="Times New Roman"/>
        </w:rPr>
        <w:t xml:space="preserve"> was explained by Ben Johnson in his evidence</w:t>
      </w:r>
      <w:r w:rsidR="007A171E">
        <w:rPr>
          <w:rStyle w:val="FootnoteReference"/>
          <w:rFonts w:ascii="Times New Roman" w:hAnsi="Times New Roman" w:cs="Times New Roman"/>
        </w:rPr>
        <w:footnoteReference w:id="25"/>
      </w:r>
      <w:r w:rsidR="007A171E">
        <w:rPr>
          <w:rFonts w:ascii="Times New Roman" w:hAnsi="Times New Roman" w:cs="Times New Roman"/>
        </w:rPr>
        <w:t>.</w:t>
      </w:r>
      <w:r w:rsidR="00C111A7">
        <w:rPr>
          <w:rFonts w:ascii="Times New Roman" w:hAnsi="Times New Roman" w:cs="Times New Roman"/>
        </w:rPr>
        <w:t xml:space="preserve"> </w:t>
      </w:r>
      <w:r w:rsidR="008E1364" w:rsidRPr="00C111A7">
        <w:rPr>
          <w:rFonts w:ascii="Times New Roman" w:hAnsi="Times New Roman" w:cs="Times New Roman"/>
        </w:rPr>
        <w:t xml:space="preserve">While </w:t>
      </w:r>
      <w:r w:rsidR="00240B86">
        <w:rPr>
          <w:rFonts w:ascii="Times New Roman" w:hAnsi="Times New Roman" w:cs="Times New Roman"/>
        </w:rPr>
        <w:t xml:space="preserve">the </w:t>
      </w:r>
      <w:r w:rsidR="008E1364" w:rsidRPr="00C111A7">
        <w:rPr>
          <w:rFonts w:ascii="Times New Roman" w:hAnsi="Times New Roman" w:cs="Times New Roman"/>
        </w:rPr>
        <w:t>Appellant’s position has been to ascrib</w:t>
      </w:r>
      <w:r w:rsidR="00240B86">
        <w:rPr>
          <w:rFonts w:ascii="Times New Roman" w:hAnsi="Times New Roman" w:cs="Times New Roman"/>
        </w:rPr>
        <w:t>e</w:t>
      </w:r>
      <w:r w:rsidR="008E1364" w:rsidRPr="00C111A7">
        <w:rPr>
          <w:rFonts w:ascii="Times New Roman" w:hAnsi="Times New Roman" w:cs="Times New Roman"/>
        </w:rPr>
        <w:t xml:space="preserve"> the housing crisis to Bromley, it is a national issue, and the Council’s position is that </w:t>
      </w:r>
      <w:r w:rsidR="003F0640" w:rsidRPr="00C111A7">
        <w:rPr>
          <w:rFonts w:ascii="Times New Roman" w:hAnsi="Times New Roman" w:cs="Times New Roman"/>
        </w:rPr>
        <w:t>it is</w:t>
      </w:r>
      <w:r w:rsidR="008E1364" w:rsidRPr="00C111A7">
        <w:rPr>
          <w:rFonts w:ascii="Times New Roman" w:hAnsi="Times New Roman" w:cs="Times New Roman"/>
        </w:rPr>
        <w:t xml:space="preserve"> taking</w:t>
      </w:r>
      <w:r w:rsidR="00EA7B30">
        <w:rPr>
          <w:rFonts w:ascii="Times New Roman" w:hAnsi="Times New Roman" w:cs="Times New Roman"/>
        </w:rPr>
        <w:t xml:space="preserve"> all</w:t>
      </w:r>
      <w:r w:rsidR="008E1364" w:rsidRPr="00C111A7">
        <w:rPr>
          <w:rFonts w:ascii="Times New Roman" w:hAnsi="Times New Roman" w:cs="Times New Roman"/>
        </w:rPr>
        <w:t xml:space="preserve"> the steps that </w:t>
      </w:r>
      <w:r w:rsidR="003F0640" w:rsidRPr="00C111A7">
        <w:rPr>
          <w:rFonts w:ascii="Times New Roman" w:hAnsi="Times New Roman" w:cs="Times New Roman"/>
        </w:rPr>
        <w:t>it</w:t>
      </w:r>
      <w:r w:rsidR="008E1364" w:rsidRPr="00C111A7">
        <w:rPr>
          <w:rFonts w:ascii="Times New Roman" w:hAnsi="Times New Roman" w:cs="Times New Roman"/>
        </w:rPr>
        <w:t xml:space="preserve"> </w:t>
      </w:r>
      <w:r w:rsidR="002E702D">
        <w:rPr>
          <w:rFonts w:ascii="Times New Roman" w:hAnsi="Times New Roman" w:cs="Times New Roman"/>
        </w:rPr>
        <w:t xml:space="preserve">reasonably </w:t>
      </w:r>
      <w:r w:rsidR="008E1364" w:rsidRPr="00C111A7">
        <w:rPr>
          <w:rFonts w:ascii="Times New Roman" w:hAnsi="Times New Roman" w:cs="Times New Roman"/>
        </w:rPr>
        <w:t xml:space="preserve">can. </w:t>
      </w:r>
      <w:r w:rsidR="00F36FFA" w:rsidRPr="00C111A7">
        <w:rPr>
          <w:rFonts w:ascii="Times New Roman" w:hAnsi="Times New Roman" w:cs="Times New Roman"/>
        </w:rPr>
        <w:t xml:space="preserve"> </w:t>
      </w:r>
    </w:p>
    <w:p w14:paraId="47230898" w14:textId="77777777" w:rsidR="00840DA5" w:rsidRPr="00DD35BD" w:rsidRDefault="00840DA5" w:rsidP="000609E9">
      <w:pPr>
        <w:spacing w:line="360" w:lineRule="auto"/>
        <w:jc w:val="both"/>
        <w:rPr>
          <w:rFonts w:ascii="Times New Roman" w:hAnsi="Times New Roman" w:cs="Times New Roman"/>
        </w:rPr>
      </w:pPr>
    </w:p>
    <w:p w14:paraId="385BC19F" w14:textId="2F05ED6A" w:rsidR="004C0069" w:rsidRPr="005E3873" w:rsidRDefault="004C0069" w:rsidP="000609E9">
      <w:pPr>
        <w:spacing w:line="360" w:lineRule="auto"/>
        <w:jc w:val="both"/>
        <w:rPr>
          <w:rFonts w:ascii="Times New Roman" w:hAnsi="Times New Roman" w:cs="Times New Roman"/>
          <w:b/>
          <w:bCs/>
          <w:u w:val="single"/>
        </w:rPr>
      </w:pPr>
      <w:r w:rsidRPr="005E3873">
        <w:rPr>
          <w:rFonts w:ascii="Times New Roman" w:hAnsi="Times New Roman" w:cs="Times New Roman"/>
          <w:b/>
          <w:bCs/>
          <w:u w:val="single"/>
        </w:rPr>
        <w:lastRenderedPageBreak/>
        <w:t>Main Issue 2: Impact</w:t>
      </w:r>
      <w:r w:rsidR="00952DBF" w:rsidRPr="005E3873">
        <w:rPr>
          <w:rFonts w:ascii="Times New Roman" w:hAnsi="Times New Roman" w:cs="Times New Roman"/>
          <w:b/>
          <w:bCs/>
          <w:u w:val="single"/>
        </w:rPr>
        <w:t>s</w:t>
      </w:r>
      <w:r w:rsidRPr="005E3873">
        <w:rPr>
          <w:rFonts w:ascii="Times New Roman" w:hAnsi="Times New Roman" w:cs="Times New Roman"/>
          <w:b/>
          <w:bCs/>
          <w:u w:val="single"/>
        </w:rPr>
        <w:t xml:space="preserve"> on</w:t>
      </w:r>
      <w:r w:rsidR="00952DBF" w:rsidRPr="005E3873">
        <w:rPr>
          <w:rFonts w:ascii="Times New Roman" w:hAnsi="Times New Roman" w:cs="Times New Roman"/>
          <w:b/>
          <w:bCs/>
          <w:u w:val="single"/>
        </w:rPr>
        <w:t xml:space="preserve"> the</w:t>
      </w:r>
      <w:r w:rsidRPr="005E3873">
        <w:rPr>
          <w:rFonts w:ascii="Times New Roman" w:hAnsi="Times New Roman" w:cs="Times New Roman"/>
          <w:b/>
          <w:bCs/>
          <w:u w:val="single"/>
        </w:rPr>
        <w:t xml:space="preserve"> living conditions </w:t>
      </w:r>
      <w:r w:rsidR="00952DBF" w:rsidRPr="005E3873">
        <w:rPr>
          <w:rFonts w:ascii="Times New Roman" w:hAnsi="Times New Roman" w:cs="Times New Roman"/>
          <w:b/>
          <w:bCs/>
          <w:u w:val="single"/>
        </w:rPr>
        <w:t xml:space="preserve">of </w:t>
      </w:r>
      <w:r w:rsidRPr="005E3873">
        <w:rPr>
          <w:rFonts w:ascii="Times New Roman" w:hAnsi="Times New Roman" w:cs="Times New Roman"/>
          <w:b/>
          <w:bCs/>
          <w:u w:val="single"/>
        </w:rPr>
        <w:t>future occupiers</w:t>
      </w:r>
    </w:p>
    <w:p w14:paraId="58AE7A3E" w14:textId="77777777" w:rsidR="00B6015F" w:rsidRPr="00B6015F" w:rsidRDefault="00B6015F" w:rsidP="000609E9">
      <w:pPr>
        <w:spacing w:line="360" w:lineRule="auto"/>
        <w:jc w:val="both"/>
        <w:rPr>
          <w:rFonts w:ascii="Times New Roman" w:hAnsi="Times New Roman" w:cs="Times New Roman"/>
        </w:rPr>
      </w:pPr>
    </w:p>
    <w:p w14:paraId="09B7D13B" w14:textId="037624B3" w:rsidR="009002D6" w:rsidRDefault="00E9788D" w:rsidP="00066210">
      <w:pPr>
        <w:pStyle w:val="ListParagraph"/>
        <w:numPr>
          <w:ilvl w:val="0"/>
          <w:numId w:val="5"/>
        </w:numPr>
        <w:spacing w:line="360" w:lineRule="auto"/>
        <w:jc w:val="both"/>
        <w:rPr>
          <w:rFonts w:ascii="Times New Roman" w:hAnsi="Times New Roman" w:cs="Times New Roman"/>
        </w:rPr>
      </w:pPr>
      <w:r>
        <w:rPr>
          <w:rFonts w:ascii="Times New Roman" w:hAnsi="Times New Roman" w:cs="Times New Roman"/>
        </w:rPr>
        <w:t>Karen Daye</w:t>
      </w:r>
      <w:r w:rsidR="003340FD">
        <w:rPr>
          <w:rFonts w:ascii="Times New Roman" w:hAnsi="Times New Roman" w:cs="Times New Roman"/>
        </w:rPr>
        <w:t>’s evidence</w:t>
      </w:r>
      <w:r w:rsidR="003340FD">
        <w:rPr>
          <w:rStyle w:val="FootnoteReference"/>
          <w:rFonts w:ascii="Times New Roman" w:hAnsi="Times New Roman" w:cs="Times New Roman"/>
        </w:rPr>
        <w:footnoteReference w:id="26"/>
      </w:r>
      <w:r w:rsidR="003340FD">
        <w:rPr>
          <w:rFonts w:ascii="Times New Roman" w:hAnsi="Times New Roman" w:cs="Times New Roman"/>
        </w:rPr>
        <w:t xml:space="preserve"> </w:t>
      </w:r>
      <w:r w:rsidR="00074223">
        <w:rPr>
          <w:rFonts w:ascii="Times New Roman" w:hAnsi="Times New Roman" w:cs="Times New Roman"/>
        </w:rPr>
        <w:t>was that the proposed</w:t>
      </w:r>
      <w:r w:rsidR="002A100B" w:rsidRPr="00392158">
        <w:rPr>
          <w:rFonts w:ascii="Times New Roman" w:hAnsi="Times New Roman" w:cs="Times New Roman"/>
        </w:rPr>
        <w:t xml:space="preserve"> development is not</w:t>
      </w:r>
      <w:r w:rsidR="00074223">
        <w:rPr>
          <w:rFonts w:ascii="Times New Roman" w:hAnsi="Times New Roman" w:cs="Times New Roman"/>
        </w:rPr>
        <w:t xml:space="preserve"> </w:t>
      </w:r>
      <w:r w:rsidR="0073292C">
        <w:rPr>
          <w:rFonts w:ascii="Times New Roman" w:hAnsi="Times New Roman" w:cs="Times New Roman"/>
        </w:rPr>
        <w:t xml:space="preserve">a </w:t>
      </w:r>
      <w:r w:rsidR="002A100B" w:rsidRPr="00392158">
        <w:rPr>
          <w:rFonts w:ascii="Times New Roman" w:hAnsi="Times New Roman" w:cs="Times New Roman"/>
        </w:rPr>
        <w:t>high quality</w:t>
      </w:r>
      <w:r w:rsidR="0073292C">
        <w:rPr>
          <w:rFonts w:ascii="Times New Roman" w:hAnsi="Times New Roman" w:cs="Times New Roman"/>
        </w:rPr>
        <w:t xml:space="preserve"> development</w:t>
      </w:r>
      <w:r w:rsidR="002A100B" w:rsidRPr="00392158">
        <w:rPr>
          <w:rFonts w:ascii="Times New Roman" w:hAnsi="Times New Roman" w:cs="Times New Roman"/>
        </w:rPr>
        <w:t xml:space="preserve"> because</w:t>
      </w:r>
      <w:r w:rsidR="009002D6">
        <w:rPr>
          <w:rFonts w:ascii="Times New Roman" w:hAnsi="Times New Roman" w:cs="Times New Roman"/>
        </w:rPr>
        <w:t>:</w:t>
      </w:r>
    </w:p>
    <w:p w14:paraId="64B41E65" w14:textId="426B9492" w:rsidR="009002D6" w:rsidRDefault="002A100B" w:rsidP="00066210">
      <w:pPr>
        <w:pStyle w:val="ListParagraph"/>
        <w:numPr>
          <w:ilvl w:val="1"/>
          <w:numId w:val="5"/>
        </w:numPr>
        <w:spacing w:line="360" w:lineRule="auto"/>
        <w:jc w:val="both"/>
        <w:rPr>
          <w:rFonts w:ascii="Times New Roman" w:hAnsi="Times New Roman" w:cs="Times New Roman"/>
        </w:rPr>
      </w:pPr>
      <w:r w:rsidRPr="00392158">
        <w:rPr>
          <w:rFonts w:ascii="Times New Roman" w:hAnsi="Times New Roman" w:cs="Times New Roman"/>
        </w:rPr>
        <w:t xml:space="preserve">there is inadequate </w:t>
      </w:r>
      <w:proofErr w:type="spellStart"/>
      <w:r w:rsidRPr="00392158">
        <w:rPr>
          <w:rFonts w:ascii="Times New Roman" w:hAnsi="Times New Roman" w:cs="Times New Roman"/>
        </w:rPr>
        <w:t>playspace</w:t>
      </w:r>
      <w:proofErr w:type="spellEnd"/>
      <w:r w:rsidRPr="00392158">
        <w:rPr>
          <w:rFonts w:ascii="Times New Roman" w:hAnsi="Times New Roman" w:cs="Times New Roman"/>
        </w:rPr>
        <w:t xml:space="preserve"> provision</w:t>
      </w:r>
      <w:r w:rsidR="00CF0796">
        <w:rPr>
          <w:rFonts w:ascii="Times New Roman" w:hAnsi="Times New Roman" w:cs="Times New Roman"/>
        </w:rPr>
        <w:t xml:space="preserve"> for under 5s</w:t>
      </w:r>
      <w:r w:rsidRPr="00392158">
        <w:rPr>
          <w:rFonts w:ascii="Times New Roman" w:hAnsi="Times New Roman" w:cs="Times New Roman"/>
        </w:rPr>
        <w:t xml:space="preserve">; </w:t>
      </w:r>
    </w:p>
    <w:p w14:paraId="0DB4B9FF" w14:textId="77777777" w:rsidR="009002D6" w:rsidRDefault="002A100B" w:rsidP="00066210">
      <w:pPr>
        <w:pStyle w:val="ListParagraph"/>
        <w:numPr>
          <w:ilvl w:val="1"/>
          <w:numId w:val="5"/>
        </w:numPr>
        <w:spacing w:line="360" w:lineRule="auto"/>
        <w:jc w:val="both"/>
        <w:rPr>
          <w:rFonts w:ascii="Times New Roman" w:hAnsi="Times New Roman" w:cs="Times New Roman"/>
        </w:rPr>
      </w:pPr>
      <w:r w:rsidRPr="00392158">
        <w:rPr>
          <w:rFonts w:ascii="Times New Roman" w:hAnsi="Times New Roman" w:cs="Times New Roman"/>
        </w:rPr>
        <w:t xml:space="preserve">the design is not inclusive; </w:t>
      </w:r>
    </w:p>
    <w:p w14:paraId="44FC8838" w14:textId="77777777" w:rsidR="009002D6" w:rsidRDefault="002A100B" w:rsidP="00066210">
      <w:pPr>
        <w:pStyle w:val="ListParagraph"/>
        <w:numPr>
          <w:ilvl w:val="1"/>
          <w:numId w:val="5"/>
        </w:numPr>
        <w:spacing w:line="360" w:lineRule="auto"/>
        <w:jc w:val="both"/>
        <w:rPr>
          <w:rFonts w:ascii="Times New Roman" w:hAnsi="Times New Roman" w:cs="Times New Roman"/>
        </w:rPr>
      </w:pPr>
      <w:r w:rsidRPr="00392158">
        <w:rPr>
          <w:rFonts w:ascii="Times New Roman" w:hAnsi="Times New Roman" w:cs="Times New Roman"/>
        </w:rPr>
        <w:t xml:space="preserve">the outlook is oppressive, and </w:t>
      </w:r>
    </w:p>
    <w:p w14:paraId="2D351929" w14:textId="77777777" w:rsidR="009002D6" w:rsidRDefault="002A100B" w:rsidP="00066210">
      <w:pPr>
        <w:pStyle w:val="ListParagraph"/>
        <w:numPr>
          <w:ilvl w:val="1"/>
          <w:numId w:val="5"/>
        </w:numPr>
        <w:spacing w:line="360" w:lineRule="auto"/>
        <w:jc w:val="both"/>
        <w:rPr>
          <w:rFonts w:ascii="Times New Roman" w:hAnsi="Times New Roman" w:cs="Times New Roman"/>
        </w:rPr>
      </w:pPr>
      <w:r w:rsidRPr="00392158">
        <w:rPr>
          <w:rFonts w:ascii="Times New Roman" w:hAnsi="Times New Roman" w:cs="Times New Roman"/>
        </w:rPr>
        <w:t>privacy is compromised.</w:t>
      </w:r>
      <w:r w:rsidR="003B0578">
        <w:rPr>
          <w:rFonts w:ascii="Times New Roman" w:hAnsi="Times New Roman" w:cs="Times New Roman"/>
        </w:rPr>
        <w:t xml:space="preserve"> </w:t>
      </w:r>
    </w:p>
    <w:p w14:paraId="2F9E2FBC" w14:textId="01E501DA" w:rsidR="003B0578" w:rsidRPr="009002D6" w:rsidRDefault="002E702D" w:rsidP="00CF0796">
      <w:pPr>
        <w:spacing w:line="360" w:lineRule="auto"/>
        <w:ind w:left="720"/>
        <w:jc w:val="both"/>
        <w:rPr>
          <w:rFonts w:ascii="Times New Roman" w:hAnsi="Times New Roman" w:cs="Times New Roman"/>
        </w:rPr>
      </w:pPr>
      <w:r>
        <w:rPr>
          <w:rFonts w:ascii="Times New Roman" w:hAnsi="Times New Roman" w:cs="Times New Roman"/>
        </w:rPr>
        <w:t>She</w:t>
      </w:r>
      <w:r w:rsidR="0073292C">
        <w:rPr>
          <w:rFonts w:ascii="Times New Roman" w:hAnsi="Times New Roman" w:cs="Times New Roman"/>
        </w:rPr>
        <w:t xml:space="preserve"> explains in her proof</w:t>
      </w:r>
      <w:r w:rsidR="00920036">
        <w:rPr>
          <w:rStyle w:val="FootnoteReference"/>
          <w:rFonts w:ascii="Times New Roman" w:hAnsi="Times New Roman" w:cs="Times New Roman"/>
        </w:rPr>
        <w:footnoteReference w:id="27"/>
      </w:r>
      <w:r w:rsidR="0073292C">
        <w:rPr>
          <w:rFonts w:ascii="Times New Roman" w:hAnsi="Times New Roman" w:cs="Times New Roman"/>
        </w:rPr>
        <w:t xml:space="preserve"> that for these reasons, it is in breach of policy requirements. </w:t>
      </w:r>
      <w:r w:rsidR="0073292C" w:rsidRPr="00392158">
        <w:rPr>
          <w:rFonts w:ascii="Times New Roman" w:hAnsi="Times New Roman" w:cs="Times New Roman"/>
        </w:rPr>
        <w:t xml:space="preserve">NPPF paragraph 135(e) requires a </w:t>
      </w:r>
      <w:r w:rsidR="000932A9">
        <w:rPr>
          <w:rFonts w:ascii="Times New Roman" w:hAnsi="Times New Roman" w:cs="Times New Roman"/>
        </w:rPr>
        <w:t>“</w:t>
      </w:r>
      <w:r w:rsidR="000932A9" w:rsidRPr="000932A9">
        <w:rPr>
          <w:rFonts w:ascii="Times New Roman" w:hAnsi="Times New Roman" w:cs="Times New Roman"/>
          <w:i/>
          <w:iCs/>
        </w:rPr>
        <w:t>h</w:t>
      </w:r>
      <w:r w:rsidR="0073292C" w:rsidRPr="000932A9">
        <w:rPr>
          <w:rFonts w:ascii="Times New Roman" w:hAnsi="Times New Roman" w:cs="Times New Roman"/>
          <w:i/>
          <w:iCs/>
        </w:rPr>
        <w:t>igh standard</w:t>
      </w:r>
      <w:r w:rsidR="000932A9">
        <w:rPr>
          <w:rFonts w:ascii="Times New Roman" w:hAnsi="Times New Roman" w:cs="Times New Roman"/>
        </w:rPr>
        <w:t>”</w:t>
      </w:r>
      <w:r w:rsidR="0073292C" w:rsidRPr="00392158">
        <w:rPr>
          <w:rFonts w:ascii="Times New Roman" w:hAnsi="Times New Roman" w:cs="Times New Roman"/>
        </w:rPr>
        <w:t xml:space="preserve"> of amenity for residents</w:t>
      </w:r>
      <w:r w:rsidR="00CF0796">
        <w:rPr>
          <w:rFonts w:ascii="Times New Roman" w:hAnsi="Times New Roman" w:cs="Times New Roman"/>
        </w:rPr>
        <w:t xml:space="preserve">, and </w:t>
      </w:r>
      <w:r w:rsidR="0073292C" w:rsidRPr="00392158">
        <w:rPr>
          <w:rFonts w:ascii="Times New Roman" w:hAnsi="Times New Roman" w:cs="Times New Roman"/>
        </w:rPr>
        <w:t xml:space="preserve">London Plan policy D6, and Bromley Local Plan policy 4 require high quality and high standards. </w:t>
      </w:r>
      <w:r w:rsidR="00DE5389">
        <w:rPr>
          <w:rFonts w:ascii="Times New Roman" w:hAnsi="Times New Roman" w:cs="Times New Roman"/>
        </w:rPr>
        <w:t>Karen Daye’s overall assessment is that it is unsatisfactory accommodation.</w:t>
      </w:r>
    </w:p>
    <w:p w14:paraId="24DBB071" w14:textId="77777777" w:rsidR="003B0578" w:rsidRDefault="003B0578" w:rsidP="000609E9">
      <w:pPr>
        <w:spacing w:line="360" w:lineRule="auto"/>
        <w:ind w:left="360"/>
        <w:jc w:val="both"/>
        <w:rPr>
          <w:rFonts w:ascii="Times New Roman" w:hAnsi="Times New Roman" w:cs="Times New Roman"/>
        </w:rPr>
      </w:pPr>
    </w:p>
    <w:p w14:paraId="7BD9F9D4" w14:textId="761530BC" w:rsidR="00E0350E" w:rsidRPr="00E0350E" w:rsidRDefault="00A53EE0" w:rsidP="000609E9">
      <w:pPr>
        <w:spacing w:line="360" w:lineRule="auto"/>
        <w:ind w:left="360"/>
        <w:jc w:val="both"/>
        <w:rPr>
          <w:rFonts w:ascii="Times New Roman" w:hAnsi="Times New Roman" w:cs="Times New Roman"/>
          <w:u w:val="single"/>
        </w:rPr>
      </w:pPr>
      <w:r>
        <w:rPr>
          <w:rFonts w:ascii="Times New Roman" w:hAnsi="Times New Roman" w:cs="Times New Roman"/>
          <w:u w:val="single"/>
        </w:rPr>
        <w:t>Play space</w:t>
      </w:r>
    </w:p>
    <w:p w14:paraId="132875BB" w14:textId="77777777" w:rsidR="00E0350E" w:rsidRPr="003B0578" w:rsidRDefault="00E0350E" w:rsidP="000609E9">
      <w:pPr>
        <w:spacing w:line="360" w:lineRule="auto"/>
        <w:ind w:left="360"/>
        <w:jc w:val="both"/>
        <w:rPr>
          <w:rFonts w:ascii="Times New Roman" w:hAnsi="Times New Roman" w:cs="Times New Roman"/>
        </w:rPr>
      </w:pPr>
    </w:p>
    <w:p w14:paraId="44F327A0" w14:textId="38A192C3" w:rsidR="00DE5984" w:rsidRDefault="007A69AD" w:rsidP="00066210">
      <w:pPr>
        <w:pStyle w:val="ListParagraph"/>
        <w:numPr>
          <w:ilvl w:val="0"/>
          <w:numId w:val="5"/>
        </w:numPr>
        <w:spacing w:line="360" w:lineRule="auto"/>
        <w:jc w:val="both"/>
        <w:rPr>
          <w:rFonts w:ascii="Times New Roman" w:hAnsi="Times New Roman" w:cs="Times New Roman"/>
        </w:rPr>
      </w:pPr>
      <w:r>
        <w:rPr>
          <w:rFonts w:ascii="Times New Roman" w:hAnsi="Times New Roman" w:cs="Times New Roman"/>
        </w:rPr>
        <w:t xml:space="preserve">There is inadequate </w:t>
      </w:r>
      <w:r w:rsidR="00BB0816">
        <w:rPr>
          <w:rFonts w:ascii="Times New Roman" w:hAnsi="Times New Roman" w:cs="Times New Roman"/>
        </w:rPr>
        <w:t>play space</w:t>
      </w:r>
      <w:r>
        <w:rPr>
          <w:rFonts w:ascii="Times New Roman" w:hAnsi="Times New Roman" w:cs="Times New Roman"/>
        </w:rPr>
        <w:t>. T</w:t>
      </w:r>
      <w:r w:rsidR="00CF0796">
        <w:rPr>
          <w:rFonts w:ascii="Times New Roman" w:hAnsi="Times New Roman" w:cs="Times New Roman"/>
        </w:rPr>
        <w:t>he</w:t>
      </w:r>
      <w:r w:rsidR="009002D6">
        <w:rPr>
          <w:rFonts w:ascii="Times New Roman" w:hAnsi="Times New Roman" w:cs="Times New Roman"/>
        </w:rPr>
        <w:t xml:space="preserve"> Council objects to both quantum and quality of </w:t>
      </w:r>
      <w:r w:rsidR="00BB0816">
        <w:rPr>
          <w:rFonts w:ascii="Times New Roman" w:hAnsi="Times New Roman" w:cs="Times New Roman"/>
        </w:rPr>
        <w:t>play space</w:t>
      </w:r>
      <w:r w:rsidR="00CF0796">
        <w:rPr>
          <w:rFonts w:ascii="Times New Roman" w:hAnsi="Times New Roman" w:cs="Times New Roman"/>
        </w:rPr>
        <w:t xml:space="preserve"> for under 5s. </w:t>
      </w:r>
      <w:r w:rsidR="00854050">
        <w:rPr>
          <w:rFonts w:ascii="Times New Roman" w:hAnsi="Times New Roman" w:cs="Times New Roman"/>
        </w:rPr>
        <w:t>The quantum</w:t>
      </w:r>
      <w:r w:rsidR="009002D6">
        <w:rPr>
          <w:rFonts w:ascii="Times New Roman" w:hAnsi="Times New Roman" w:cs="Times New Roman"/>
        </w:rPr>
        <w:t xml:space="preserve"> is not enough, and </w:t>
      </w:r>
      <w:r w:rsidR="00854050">
        <w:rPr>
          <w:rFonts w:ascii="Times New Roman" w:hAnsi="Times New Roman" w:cs="Times New Roman"/>
        </w:rPr>
        <w:t>the</w:t>
      </w:r>
      <w:r w:rsidR="009002D6">
        <w:rPr>
          <w:rFonts w:ascii="Times New Roman" w:hAnsi="Times New Roman" w:cs="Times New Roman"/>
        </w:rPr>
        <w:t xml:space="preserve"> quality</w:t>
      </w:r>
      <w:r w:rsidR="00854050">
        <w:rPr>
          <w:rFonts w:ascii="Times New Roman" w:hAnsi="Times New Roman" w:cs="Times New Roman"/>
        </w:rPr>
        <w:t xml:space="preserve"> is inadequate because </w:t>
      </w:r>
      <w:r w:rsidR="009002D6">
        <w:rPr>
          <w:rFonts w:ascii="Times New Roman" w:hAnsi="Times New Roman" w:cs="Times New Roman"/>
        </w:rPr>
        <w:t>it is shared with the</w:t>
      </w:r>
      <w:r w:rsidR="004F45D1">
        <w:rPr>
          <w:rFonts w:ascii="Times New Roman" w:hAnsi="Times New Roman" w:cs="Times New Roman"/>
        </w:rPr>
        <w:t xml:space="preserve"> proposed</w:t>
      </w:r>
      <w:r w:rsidR="009002D6">
        <w:rPr>
          <w:rFonts w:ascii="Times New Roman" w:hAnsi="Times New Roman" w:cs="Times New Roman"/>
        </w:rPr>
        <w:t xml:space="preserve"> amenity </w:t>
      </w:r>
      <w:r w:rsidR="00854050">
        <w:rPr>
          <w:rFonts w:ascii="Times New Roman" w:hAnsi="Times New Roman" w:cs="Times New Roman"/>
        </w:rPr>
        <w:t xml:space="preserve">space and </w:t>
      </w:r>
      <w:r w:rsidR="004F45D1">
        <w:rPr>
          <w:rFonts w:ascii="Times New Roman" w:hAnsi="Times New Roman" w:cs="Times New Roman"/>
        </w:rPr>
        <w:t xml:space="preserve">the proposed </w:t>
      </w:r>
      <w:r w:rsidR="009002D6">
        <w:rPr>
          <w:rFonts w:ascii="Times New Roman" w:hAnsi="Times New Roman" w:cs="Times New Roman"/>
        </w:rPr>
        <w:t>commercial space,</w:t>
      </w:r>
      <w:r w:rsidR="00854050">
        <w:rPr>
          <w:rFonts w:ascii="Times New Roman" w:hAnsi="Times New Roman" w:cs="Times New Roman"/>
        </w:rPr>
        <w:t xml:space="preserve"> as well as</w:t>
      </w:r>
      <w:r w:rsidR="009002D6">
        <w:rPr>
          <w:rFonts w:ascii="Times New Roman" w:hAnsi="Times New Roman" w:cs="Times New Roman"/>
        </w:rPr>
        <w:t xml:space="preserve"> </w:t>
      </w:r>
      <w:r w:rsidR="00573769">
        <w:rPr>
          <w:rFonts w:ascii="Times New Roman" w:hAnsi="Times New Roman" w:cs="Times New Roman"/>
        </w:rPr>
        <w:t>having</w:t>
      </w:r>
      <w:r w:rsidR="00B85A11">
        <w:rPr>
          <w:rFonts w:ascii="Times New Roman" w:hAnsi="Times New Roman" w:cs="Times New Roman"/>
        </w:rPr>
        <w:t xml:space="preserve"> </w:t>
      </w:r>
      <w:r w:rsidR="009002D6">
        <w:rPr>
          <w:rFonts w:ascii="Times New Roman" w:hAnsi="Times New Roman" w:cs="Times New Roman"/>
        </w:rPr>
        <w:t>the pedestrian route through.</w:t>
      </w:r>
      <w:r w:rsidR="006F0F5E">
        <w:rPr>
          <w:rFonts w:ascii="Times New Roman" w:hAnsi="Times New Roman" w:cs="Times New Roman"/>
        </w:rPr>
        <w:t xml:space="preserve"> </w:t>
      </w:r>
      <w:r w:rsidR="00854050">
        <w:rPr>
          <w:rFonts w:ascii="Times New Roman" w:hAnsi="Times New Roman" w:cs="Times New Roman"/>
        </w:rPr>
        <w:t>As Karen Daye said in her evidence, residents would</w:t>
      </w:r>
      <w:r w:rsidR="006F0F5E">
        <w:rPr>
          <w:rFonts w:ascii="Times New Roman" w:hAnsi="Times New Roman" w:cs="Times New Roman"/>
        </w:rPr>
        <w:t xml:space="preserve"> want to walk out in their dressing gowns</w:t>
      </w:r>
      <w:r w:rsidR="008319DB">
        <w:rPr>
          <w:rFonts w:ascii="Times New Roman" w:hAnsi="Times New Roman" w:cs="Times New Roman"/>
        </w:rPr>
        <w:t xml:space="preserve"> with their children, and that won’t be possible with the current design</w:t>
      </w:r>
      <w:r w:rsidR="006F0F5E">
        <w:rPr>
          <w:rFonts w:ascii="Times New Roman" w:hAnsi="Times New Roman" w:cs="Times New Roman"/>
        </w:rPr>
        <w:t>.</w:t>
      </w:r>
      <w:r w:rsidR="009002D6">
        <w:rPr>
          <w:rFonts w:ascii="Times New Roman" w:hAnsi="Times New Roman" w:cs="Times New Roman"/>
        </w:rPr>
        <w:t xml:space="preserve"> </w:t>
      </w:r>
      <w:r w:rsidR="006315FC">
        <w:rPr>
          <w:rFonts w:ascii="Times New Roman" w:hAnsi="Times New Roman" w:cs="Times New Roman"/>
        </w:rPr>
        <w:t>She</w:t>
      </w:r>
      <w:r w:rsidR="00854050">
        <w:rPr>
          <w:rFonts w:ascii="Times New Roman" w:hAnsi="Times New Roman" w:cs="Times New Roman"/>
        </w:rPr>
        <w:t xml:space="preserve"> referred to the </w:t>
      </w:r>
      <w:r w:rsidR="008319DB">
        <w:rPr>
          <w:rFonts w:ascii="Times New Roman" w:hAnsi="Times New Roman" w:cs="Times New Roman"/>
        </w:rPr>
        <w:t xml:space="preserve">supporting </w:t>
      </w:r>
      <w:r w:rsidR="00854050">
        <w:rPr>
          <w:rFonts w:ascii="Times New Roman" w:hAnsi="Times New Roman" w:cs="Times New Roman"/>
        </w:rPr>
        <w:t>policy context in her proof</w:t>
      </w:r>
      <w:r w:rsidR="00854050">
        <w:rPr>
          <w:rStyle w:val="FootnoteReference"/>
          <w:rFonts w:ascii="Times New Roman" w:hAnsi="Times New Roman" w:cs="Times New Roman"/>
        </w:rPr>
        <w:footnoteReference w:id="28"/>
      </w:r>
      <w:r w:rsidR="00854050">
        <w:rPr>
          <w:rFonts w:ascii="Times New Roman" w:hAnsi="Times New Roman" w:cs="Times New Roman"/>
        </w:rPr>
        <w:t xml:space="preserve">. </w:t>
      </w:r>
      <w:r w:rsidR="008319DB">
        <w:rPr>
          <w:rFonts w:ascii="Times New Roman" w:hAnsi="Times New Roman" w:cs="Times New Roman"/>
        </w:rPr>
        <w:t>The Council’s case</w:t>
      </w:r>
      <w:r w:rsidR="00DE5984" w:rsidRPr="00DE5984">
        <w:rPr>
          <w:rFonts w:ascii="Times New Roman" w:hAnsi="Times New Roman" w:cs="Times New Roman"/>
        </w:rPr>
        <w:t xml:space="preserve"> is</w:t>
      </w:r>
      <w:r w:rsidR="008319DB">
        <w:rPr>
          <w:rFonts w:ascii="Times New Roman" w:hAnsi="Times New Roman" w:cs="Times New Roman"/>
        </w:rPr>
        <w:t xml:space="preserve"> also </w:t>
      </w:r>
      <w:r w:rsidR="00DE5984" w:rsidRPr="00DE5984">
        <w:rPr>
          <w:rFonts w:ascii="Times New Roman" w:hAnsi="Times New Roman" w:cs="Times New Roman"/>
        </w:rPr>
        <w:t>that the courtyard amenity space provision is</w:t>
      </w:r>
      <w:r w:rsidR="008319DB">
        <w:rPr>
          <w:rFonts w:ascii="Times New Roman" w:hAnsi="Times New Roman" w:cs="Times New Roman"/>
        </w:rPr>
        <w:t xml:space="preserve"> not</w:t>
      </w:r>
      <w:r w:rsidR="00DE5984" w:rsidRPr="00DE5984">
        <w:rPr>
          <w:rFonts w:ascii="Times New Roman" w:hAnsi="Times New Roman" w:cs="Times New Roman"/>
        </w:rPr>
        <w:t xml:space="preserve"> genuinely playable and therefore the open space cannot be double counted as play space.</w:t>
      </w:r>
    </w:p>
    <w:p w14:paraId="7D284AEC" w14:textId="77777777" w:rsidR="003B0578" w:rsidRDefault="003B0578" w:rsidP="000609E9">
      <w:pPr>
        <w:spacing w:line="360" w:lineRule="auto"/>
        <w:jc w:val="both"/>
        <w:rPr>
          <w:rFonts w:ascii="Times New Roman" w:hAnsi="Times New Roman" w:cs="Times New Roman"/>
        </w:rPr>
      </w:pPr>
    </w:p>
    <w:p w14:paraId="6862E425" w14:textId="000595B3" w:rsidR="00E0350E" w:rsidRPr="00E0350E" w:rsidRDefault="00E0350E" w:rsidP="000609E9">
      <w:pPr>
        <w:spacing w:line="360" w:lineRule="auto"/>
        <w:jc w:val="both"/>
        <w:rPr>
          <w:rFonts w:ascii="Times New Roman" w:hAnsi="Times New Roman" w:cs="Times New Roman"/>
          <w:u w:val="single"/>
        </w:rPr>
      </w:pPr>
      <w:r>
        <w:rPr>
          <w:rFonts w:ascii="Times New Roman" w:hAnsi="Times New Roman" w:cs="Times New Roman"/>
          <w:u w:val="single"/>
        </w:rPr>
        <w:t>Inclusive Design</w:t>
      </w:r>
    </w:p>
    <w:p w14:paraId="436386CC" w14:textId="77777777" w:rsidR="00E0350E" w:rsidRPr="003B0578" w:rsidRDefault="00E0350E" w:rsidP="000609E9">
      <w:pPr>
        <w:spacing w:line="360" w:lineRule="auto"/>
        <w:jc w:val="both"/>
        <w:rPr>
          <w:rFonts w:ascii="Times New Roman" w:hAnsi="Times New Roman" w:cs="Times New Roman"/>
        </w:rPr>
      </w:pPr>
    </w:p>
    <w:p w14:paraId="59338D29" w14:textId="06D15C9F" w:rsidR="00D33196" w:rsidRPr="00D33196" w:rsidRDefault="008325FD" w:rsidP="00066210">
      <w:pPr>
        <w:pStyle w:val="ListParagraph"/>
        <w:numPr>
          <w:ilvl w:val="0"/>
          <w:numId w:val="5"/>
        </w:numPr>
        <w:spacing w:line="360" w:lineRule="auto"/>
        <w:jc w:val="both"/>
        <w:rPr>
          <w:rFonts w:ascii="Times New Roman" w:hAnsi="Times New Roman" w:cs="Times New Roman"/>
        </w:rPr>
      </w:pPr>
      <w:r>
        <w:rPr>
          <w:rFonts w:ascii="Times New Roman" w:hAnsi="Times New Roman" w:cs="Times New Roman"/>
        </w:rPr>
        <w:t xml:space="preserve">The design is not inclusive. Karen Daye gave evidence about the lack of </w:t>
      </w:r>
      <w:r w:rsidR="006F0F5E">
        <w:rPr>
          <w:rFonts w:ascii="Times New Roman" w:hAnsi="Times New Roman" w:cs="Times New Roman"/>
        </w:rPr>
        <w:t>wheelchair accessible units</w:t>
      </w:r>
      <w:r>
        <w:rPr>
          <w:rFonts w:ascii="Times New Roman" w:hAnsi="Times New Roman" w:cs="Times New Roman"/>
        </w:rPr>
        <w:t xml:space="preserve"> and the</w:t>
      </w:r>
      <w:r w:rsidR="00E87259">
        <w:rPr>
          <w:rFonts w:ascii="Times New Roman" w:hAnsi="Times New Roman" w:cs="Times New Roman"/>
        </w:rPr>
        <w:t>ir</w:t>
      </w:r>
      <w:r>
        <w:rPr>
          <w:rFonts w:ascii="Times New Roman" w:hAnsi="Times New Roman" w:cs="Times New Roman"/>
        </w:rPr>
        <w:t xml:space="preserve"> inappropriate siting</w:t>
      </w:r>
      <w:r w:rsidR="006F0F5E">
        <w:rPr>
          <w:rFonts w:ascii="Times New Roman" w:hAnsi="Times New Roman" w:cs="Times New Roman"/>
        </w:rPr>
        <w:t>.</w:t>
      </w:r>
      <w:r>
        <w:rPr>
          <w:rFonts w:ascii="Times New Roman" w:hAnsi="Times New Roman" w:cs="Times New Roman"/>
        </w:rPr>
        <w:t xml:space="preserve"> This evidence was not challenged by the Appellant, and the Inspector is invited to adopt it. The proposed development does not distribute wheelchair accessible units across the floors, but instead concentrates them </w:t>
      </w:r>
      <w:r>
        <w:rPr>
          <w:rFonts w:ascii="Times New Roman" w:hAnsi="Times New Roman" w:cs="Times New Roman"/>
        </w:rPr>
        <w:lastRenderedPageBreak/>
        <w:t>all on the lower floors. These are also the floors with the least light. N</w:t>
      </w:r>
      <w:r w:rsidRPr="00D33196">
        <w:rPr>
          <w:rFonts w:ascii="Times New Roman" w:hAnsi="Times New Roman" w:cs="Times New Roman"/>
        </w:rPr>
        <w:t>early half of the wheelchair accessible units have a Spatial Daylight Autonomy (sDA) of lower than 40% and will be classed as poorly lit</w:t>
      </w:r>
      <w:r>
        <w:rPr>
          <w:rFonts w:ascii="Times New Roman" w:hAnsi="Times New Roman" w:cs="Times New Roman"/>
        </w:rPr>
        <w:t>.</w:t>
      </w:r>
      <w:r w:rsidR="006F0F5E">
        <w:rPr>
          <w:rFonts w:ascii="Times New Roman" w:hAnsi="Times New Roman" w:cs="Times New Roman"/>
        </w:rPr>
        <w:t xml:space="preserve"> </w:t>
      </w:r>
      <w:r>
        <w:rPr>
          <w:rFonts w:ascii="Times New Roman" w:hAnsi="Times New Roman" w:cs="Times New Roman"/>
        </w:rPr>
        <w:t>Karen Daye in her proof</w:t>
      </w:r>
      <w:r>
        <w:rPr>
          <w:rStyle w:val="FootnoteReference"/>
          <w:rFonts w:ascii="Times New Roman" w:hAnsi="Times New Roman" w:cs="Times New Roman"/>
        </w:rPr>
        <w:footnoteReference w:id="29"/>
      </w:r>
      <w:r>
        <w:rPr>
          <w:rFonts w:ascii="Times New Roman" w:hAnsi="Times New Roman" w:cs="Times New Roman"/>
        </w:rPr>
        <w:t xml:space="preserve"> explains that t</w:t>
      </w:r>
      <w:r w:rsidR="00FB0247">
        <w:rPr>
          <w:rFonts w:ascii="Times New Roman" w:hAnsi="Times New Roman" w:cs="Times New Roman"/>
        </w:rPr>
        <w:t>his is contrary to</w:t>
      </w:r>
      <w:r>
        <w:rPr>
          <w:rFonts w:ascii="Times New Roman" w:hAnsi="Times New Roman" w:cs="Times New Roman"/>
        </w:rPr>
        <w:t xml:space="preserve"> policy.</w:t>
      </w:r>
    </w:p>
    <w:p w14:paraId="5AE6778D" w14:textId="77777777" w:rsidR="00A26C34" w:rsidRDefault="00A26C34" w:rsidP="000609E9">
      <w:pPr>
        <w:pStyle w:val="ListParagraph"/>
        <w:spacing w:line="360" w:lineRule="auto"/>
        <w:jc w:val="both"/>
        <w:rPr>
          <w:rFonts w:ascii="Times New Roman" w:hAnsi="Times New Roman" w:cs="Times New Roman"/>
        </w:rPr>
      </w:pPr>
    </w:p>
    <w:p w14:paraId="240DB9B0" w14:textId="660A423F" w:rsidR="00E0350E" w:rsidRPr="00E0350E" w:rsidRDefault="00E0350E" w:rsidP="00E0350E">
      <w:pPr>
        <w:spacing w:line="360" w:lineRule="auto"/>
        <w:jc w:val="both"/>
        <w:rPr>
          <w:rFonts w:ascii="Times New Roman" w:hAnsi="Times New Roman" w:cs="Times New Roman"/>
          <w:u w:val="single"/>
        </w:rPr>
      </w:pPr>
      <w:r>
        <w:rPr>
          <w:rFonts w:ascii="Times New Roman" w:hAnsi="Times New Roman" w:cs="Times New Roman"/>
          <w:u w:val="single"/>
        </w:rPr>
        <w:t>Outlook</w:t>
      </w:r>
    </w:p>
    <w:p w14:paraId="3D28546C" w14:textId="77777777" w:rsidR="00E0350E" w:rsidRDefault="00E0350E" w:rsidP="000609E9">
      <w:pPr>
        <w:pStyle w:val="ListParagraph"/>
        <w:spacing w:line="360" w:lineRule="auto"/>
        <w:jc w:val="both"/>
        <w:rPr>
          <w:rFonts w:ascii="Times New Roman" w:hAnsi="Times New Roman" w:cs="Times New Roman"/>
        </w:rPr>
      </w:pPr>
    </w:p>
    <w:p w14:paraId="31EE25D9" w14:textId="7574C3C2" w:rsidR="0005746B" w:rsidRPr="0026451D" w:rsidRDefault="00645538" w:rsidP="0026451D">
      <w:pPr>
        <w:pStyle w:val="ListParagraph"/>
        <w:numPr>
          <w:ilvl w:val="0"/>
          <w:numId w:val="5"/>
        </w:numPr>
        <w:spacing w:line="360" w:lineRule="auto"/>
        <w:jc w:val="both"/>
        <w:rPr>
          <w:rFonts w:ascii="Times New Roman" w:hAnsi="Times New Roman" w:cs="Times New Roman"/>
        </w:rPr>
      </w:pPr>
      <w:r>
        <w:rPr>
          <w:rFonts w:ascii="Times New Roman" w:hAnsi="Times New Roman" w:cs="Times New Roman"/>
        </w:rPr>
        <w:t>The o</w:t>
      </w:r>
      <w:r w:rsidR="00392158" w:rsidRPr="00DE5984">
        <w:rPr>
          <w:rFonts w:ascii="Times New Roman" w:hAnsi="Times New Roman" w:cs="Times New Roman"/>
        </w:rPr>
        <w:t>utlook</w:t>
      </w:r>
      <w:r>
        <w:rPr>
          <w:rFonts w:ascii="Times New Roman" w:hAnsi="Times New Roman" w:cs="Times New Roman"/>
        </w:rPr>
        <w:t xml:space="preserve"> is </w:t>
      </w:r>
      <w:r w:rsidR="00D72841">
        <w:rPr>
          <w:rFonts w:ascii="Times New Roman" w:hAnsi="Times New Roman" w:cs="Times New Roman"/>
        </w:rPr>
        <w:t>oppressive</w:t>
      </w:r>
      <w:r w:rsidR="00392158" w:rsidRPr="00DE5984">
        <w:rPr>
          <w:rFonts w:ascii="Times New Roman" w:hAnsi="Times New Roman" w:cs="Times New Roman"/>
        </w:rPr>
        <w:t xml:space="preserve">. </w:t>
      </w:r>
      <w:r w:rsidR="0026451D">
        <w:rPr>
          <w:rFonts w:ascii="Times New Roman" w:hAnsi="Times New Roman" w:cs="Times New Roman"/>
        </w:rPr>
        <w:t>Karen Daye gave evidence</w:t>
      </w:r>
      <w:r w:rsidR="0026451D">
        <w:rPr>
          <w:rStyle w:val="FootnoteReference"/>
          <w:rFonts w:ascii="Times New Roman" w:hAnsi="Times New Roman" w:cs="Times New Roman"/>
        </w:rPr>
        <w:footnoteReference w:id="30"/>
      </w:r>
      <w:r w:rsidR="0026451D">
        <w:rPr>
          <w:rFonts w:ascii="Times New Roman" w:hAnsi="Times New Roman" w:cs="Times New Roman"/>
        </w:rPr>
        <w:t xml:space="preserve"> to say that t</w:t>
      </w:r>
      <w:r w:rsidR="0026451D" w:rsidRPr="0026451D">
        <w:rPr>
          <w:rFonts w:ascii="Times New Roman" w:hAnsi="Times New Roman" w:cs="Times New Roman"/>
        </w:rPr>
        <w:t>he occupants of the l</w:t>
      </w:r>
      <w:r w:rsidR="007C7557" w:rsidRPr="0026451D">
        <w:rPr>
          <w:rFonts w:ascii="Times New Roman" w:hAnsi="Times New Roman" w:cs="Times New Roman"/>
        </w:rPr>
        <w:t>ower</w:t>
      </w:r>
      <w:r w:rsidR="0026451D" w:rsidRPr="0026451D">
        <w:rPr>
          <w:rFonts w:ascii="Times New Roman" w:hAnsi="Times New Roman" w:cs="Times New Roman"/>
        </w:rPr>
        <w:t>-</w:t>
      </w:r>
      <w:r w:rsidR="007C7557" w:rsidRPr="0026451D">
        <w:rPr>
          <w:rFonts w:ascii="Times New Roman" w:hAnsi="Times New Roman" w:cs="Times New Roman"/>
        </w:rPr>
        <w:t>level</w:t>
      </w:r>
      <w:r w:rsidR="0026451D" w:rsidRPr="0026451D">
        <w:rPr>
          <w:rFonts w:ascii="Times New Roman" w:hAnsi="Times New Roman" w:cs="Times New Roman"/>
        </w:rPr>
        <w:t xml:space="preserve"> flats in blocks A and B will</w:t>
      </w:r>
      <w:r w:rsidR="007C7557" w:rsidRPr="0026451D">
        <w:rPr>
          <w:rFonts w:ascii="Times New Roman" w:hAnsi="Times New Roman" w:cs="Times New Roman"/>
        </w:rPr>
        <w:t xml:space="preserve"> </w:t>
      </w:r>
      <w:r w:rsidR="0026451D" w:rsidRPr="0026451D">
        <w:rPr>
          <w:rFonts w:ascii="Times New Roman" w:hAnsi="Times New Roman" w:cs="Times New Roman"/>
        </w:rPr>
        <w:t>look through their windows</w:t>
      </w:r>
      <w:r w:rsidR="007C7557" w:rsidRPr="0026451D">
        <w:rPr>
          <w:rFonts w:ascii="Times New Roman" w:hAnsi="Times New Roman" w:cs="Times New Roman"/>
        </w:rPr>
        <w:t xml:space="preserve"> </w:t>
      </w:r>
      <w:r w:rsidR="0026451D" w:rsidRPr="0026451D">
        <w:rPr>
          <w:rFonts w:ascii="Times New Roman" w:hAnsi="Times New Roman" w:cs="Times New Roman"/>
        </w:rPr>
        <w:t>directly onto the walls of neighbouring buildings, for example, there is a 1.22m gap between Block A and the rear of the TK Max building. That is poor outlook. The angled windows in the flank of Block B also have constrained viewpoints, and that is a poor outlook feature which applies particularly to the upper floor flats in Block B</w:t>
      </w:r>
      <w:r w:rsidR="0026451D">
        <w:rPr>
          <w:rStyle w:val="FootnoteReference"/>
          <w:rFonts w:ascii="Times New Roman" w:hAnsi="Times New Roman" w:cs="Times New Roman"/>
        </w:rPr>
        <w:footnoteReference w:id="31"/>
      </w:r>
      <w:r w:rsidR="0026451D" w:rsidRPr="0026451D">
        <w:rPr>
          <w:rFonts w:ascii="Times New Roman" w:hAnsi="Times New Roman" w:cs="Times New Roman"/>
        </w:rPr>
        <w:t xml:space="preserve">. </w:t>
      </w:r>
      <w:r w:rsidR="00B84185" w:rsidRPr="0026451D">
        <w:rPr>
          <w:rFonts w:ascii="Times New Roman" w:hAnsi="Times New Roman" w:cs="Times New Roman"/>
        </w:rPr>
        <w:t>Karen Daye in her proof explains</w:t>
      </w:r>
      <w:r w:rsidR="007C7557">
        <w:rPr>
          <w:rStyle w:val="FootnoteReference"/>
          <w:rFonts w:ascii="Times New Roman" w:hAnsi="Times New Roman" w:cs="Times New Roman"/>
        </w:rPr>
        <w:footnoteReference w:id="32"/>
      </w:r>
      <w:r w:rsidR="007C7557" w:rsidRPr="0026451D">
        <w:rPr>
          <w:rFonts w:ascii="Times New Roman" w:hAnsi="Times New Roman" w:cs="Times New Roman"/>
        </w:rPr>
        <w:t xml:space="preserve"> </w:t>
      </w:r>
      <w:r w:rsidR="00B84185" w:rsidRPr="0026451D">
        <w:rPr>
          <w:rFonts w:ascii="Times New Roman" w:hAnsi="Times New Roman" w:cs="Times New Roman"/>
        </w:rPr>
        <w:t>that due to the height, scale and proximity of the blocks to one another</w:t>
      </w:r>
      <w:r w:rsidR="0026451D">
        <w:rPr>
          <w:rFonts w:ascii="Times New Roman" w:hAnsi="Times New Roman" w:cs="Times New Roman"/>
        </w:rPr>
        <w:t>,</w:t>
      </w:r>
      <w:r w:rsidR="00B84185" w:rsidRPr="0026451D">
        <w:rPr>
          <w:rFonts w:ascii="Times New Roman" w:hAnsi="Times New Roman" w:cs="Times New Roman"/>
        </w:rPr>
        <w:t xml:space="preserve"> occupants would be faced with an unduly oppressive outlook. </w:t>
      </w:r>
      <w:r w:rsidR="00E96B51" w:rsidRPr="0026451D">
        <w:rPr>
          <w:rFonts w:ascii="Times New Roman" w:hAnsi="Times New Roman" w:cs="Times New Roman"/>
        </w:rPr>
        <w:t>Karen</w:t>
      </w:r>
      <w:r w:rsidR="00B84185" w:rsidRPr="0026451D">
        <w:rPr>
          <w:rFonts w:ascii="Times New Roman" w:hAnsi="Times New Roman" w:cs="Times New Roman"/>
        </w:rPr>
        <w:t xml:space="preserve"> Daye</w:t>
      </w:r>
      <w:r w:rsidR="0026451D">
        <w:rPr>
          <w:rFonts w:ascii="Times New Roman" w:hAnsi="Times New Roman" w:cs="Times New Roman"/>
        </w:rPr>
        <w:t xml:space="preserve"> also</w:t>
      </w:r>
      <w:r w:rsidR="00B84185" w:rsidRPr="0026451D">
        <w:rPr>
          <w:rFonts w:ascii="Times New Roman" w:hAnsi="Times New Roman" w:cs="Times New Roman"/>
        </w:rPr>
        <w:t xml:space="preserve"> highlighted in particular</w:t>
      </w:r>
      <w:r w:rsidR="00721B35">
        <w:rPr>
          <w:rFonts w:ascii="Times New Roman" w:hAnsi="Times New Roman" w:cs="Times New Roman"/>
        </w:rPr>
        <w:t xml:space="preserve"> </w:t>
      </w:r>
      <w:r w:rsidR="00B84185" w:rsidRPr="0026451D">
        <w:rPr>
          <w:rFonts w:ascii="Times New Roman" w:hAnsi="Times New Roman" w:cs="Times New Roman"/>
        </w:rPr>
        <w:t>the flank walls of adjoining buildings</w:t>
      </w:r>
      <w:r w:rsidR="00721B35">
        <w:rPr>
          <w:rFonts w:ascii="Times New Roman" w:hAnsi="Times New Roman" w:cs="Times New Roman"/>
        </w:rPr>
        <w:t xml:space="preserve"> being</w:t>
      </w:r>
      <w:r w:rsidR="00B84185" w:rsidRPr="0026451D">
        <w:rPr>
          <w:rFonts w:ascii="Times New Roman" w:hAnsi="Times New Roman" w:cs="Times New Roman"/>
        </w:rPr>
        <w:t xml:space="preserve"> 1-1.5m away and the 1.2-1.6m distance between window and wall in the west facing windows of Block A floors 1-3</w:t>
      </w:r>
      <w:r w:rsidR="000B478B">
        <w:rPr>
          <w:rStyle w:val="FootnoteReference"/>
          <w:rFonts w:ascii="Times New Roman" w:hAnsi="Times New Roman" w:cs="Times New Roman"/>
        </w:rPr>
        <w:footnoteReference w:id="33"/>
      </w:r>
      <w:r w:rsidR="00B84185" w:rsidRPr="0026451D">
        <w:rPr>
          <w:rFonts w:ascii="Times New Roman" w:hAnsi="Times New Roman" w:cs="Times New Roman"/>
        </w:rPr>
        <w:t>.</w:t>
      </w:r>
    </w:p>
    <w:p w14:paraId="600BA981" w14:textId="77777777" w:rsidR="00A26C34" w:rsidRDefault="00A26C34" w:rsidP="000609E9">
      <w:pPr>
        <w:pStyle w:val="ListParagraph"/>
        <w:spacing w:line="360" w:lineRule="auto"/>
        <w:jc w:val="both"/>
        <w:rPr>
          <w:rFonts w:ascii="Times New Roman" w:hAnsi="Times New Roman" w:cs="Times New Roman"/>
        </w:rPr>
      </w:pPr>
    </w:p>
    <w:p w14:paraId="34C82E69" w14:textId="0DC1781F" w:rsidR="00E0350E" w:rsidRPr="00E0350E" w:rsidRDefault="00E0350E" w:rsidP="00E0350E">
      <w:pPr>
        <w:spacing w:line="360" w:lineRule="auto"/>
        <w:jc w:val="both"/>
        <w:rPr>
          <w:rFonts w:ascii="Times New Roman" w:hAnsi="Times New Roman" w:cs="Times New Roman"/>
          <w:u w:val="single"/>
        </w:rPr>
      </w:pPr>
      <w:r>
        <w:rPr>
          <w:rFonts w:ascii="Times New Roman" w:hAnsi="Times New Roman" w:cs="Times New Roman"/>
          <w:u w:val="single"/>
        </w:rPr>
        <w:t>Privacy</w:t>
      </w:r>
    </w:p>
    <w:p w14:paraId="3C9EB935" w14:textId="77777777" w:rsidR="00E0350E" w:rsidRDefault="00E0350E" w:rsidP="000609E9">
      <w:pPr>
        <w:pStyle w:val="ListParagraph"/>
        <w:spacing w:line="360" w:lineRule="auto"/>
        <w:jc w:val="both"/>
        <w:rPr>
          <w:rFonts w:ascii="Times New Roman" w:hAnsi="Times New Roman" w:cs="Times New Roman"/>
        </w:rPr>
      </w:pPr>
    </w:p>
    <w:p w14:paraId="7D712B6C" w14:textId="7CDC1001" w:rsidR="00986182" w:rsidRDefault="00E87259" w:rsidP="00066210">
      <w:pPr>
        <w:pStyle w:val="ListParagraph"/>
        <w:numPr>
          <w:ilvl w:val="0"/>
          <w:numId w:val="5"/>
        </w:numPr>
        <w:spacing w:line="360" w:lineRule="auto"/>
        <w:jc w:val="both"/>
        <w:rPr>
          <w:rFonts w:ascii="Times New Roman" w:hAnsi="Times New Roman" w:cs="Times New Roman"/>
        </w:rPr>
      </w:pPr>
      <w:r>
        <w:rPr>
          <w:rFonts w:ascii="Times New Roman" w:hAnsi="Times New Roman" w:cs="Times New Roman"/>
        </w:rPr>
        <w:t>The p</w:t>
      </w:r>
      <w:r w:rsidR="00392158" w:rsidRPr="00DE5984">
        <w:rPr>
          <w:rFonts w:ascii="Times New Roman" w:hAnsi="Times New Roman" w:cs="Times New Roman"/>
        </w:rPr>
        <w:t>rivacy</w:t>
      </w:r>
      <w:r w:rsidR="009670D7">
        <w:rPr>
          <w:rFonts w:ascii="Times New Roman" w:hAnsi="Times New Roman" w:cs="Times New Roman"/>
        </w:rPr>
        <w:t xml:space="preserve"> </w:t>
      </w:r>
      <w:r w:rsidR="00442C67">
        <w:rPr>
          <w:rFonts w:ascii="Times New Roman" w:hAnsi="Times New Roman" w:cs="Times New Roman"/>
        </w:rPr>
        <w:t xml:space="preserve">of future residents </w:t>
      </w:r>
      <w:r w:rsidR="009670D7">
        <w:rPr>
          <w:rFonts w:ascii="Times New Roman" w:hAnsi="Times New Roman" w:cs="Times New Roman"/>
        </w:rPr>
        <w:t>is compromised by the development</w:t>
      </w:r>
      <w:r w:rsidR="00392158" w:rsidRPr="00DE5984">
        <w:rPr>
          <w:rFonts w:ascii="Times New Roman" w:hAnsi="Times New Roman" w:cs="Times New Roman"/>
        </w:rPr>
        <w:t>.</w:t>
      </w:r>
      <w:r w:rsidR="00FB0247">
        <w:rPr>
          <w:rFonts w:ascii="Times New Roman" w:hAnsi="Times New Roman" w:cs="Times New Roman"/>
        </w:rPr>
        <w:t xml:space="preserve"> </w:t>
      </w:r>
      <w:r w:rsidR="00440102">
        <w:rPr>
          <w:rFonts w:ascii="Times New Roman" w:hAnsi="Times New Roman" w:cs="Times New Roman"/>
        </w:rPr>
        <w:t>The m</w:t>
      </w:r>
      <w:r w:rsidR="00305BBB">
        <w:rPr>
          <w:rFonts w:ascii="Times New Roman" w:hAnsi="Times New Roman" w:cs="Times New Roman"/>
        </w:rPr>
        <w:t>inimum</w:t>
      </w:r>
      <w:r w:rsidR="00FB0247">
        <w:rPr>
          <w:rFonts w:ascii="Times New Roman" w:hAnsi="Times New Roman" w:cs="Times New Roman"/>
        </w:rPr>
        <w:t xml:space="preserve"> separation distances have been calculated </w:t>
      </w:r>
      <w:r>
        <w:rPr>
          <w:rFonts w:ascii="Times New Roman" w:hAnsi="Times New Roman" w:cs="Times New Roman"/>
        </w:rPr>
        <w:t xml:space="preserve">most accurately </w:t>
      </w:r>
      <w:r w:rsidR="00FB0247">
        <w:rPr>
          <w:rFonts w:ascii="Times New Roman" w:hAnsi="Times New Roman" w:cs="Times New Roman"/>
        </w:rPr>
        <w:t>by Dan Wade</w:t>
      </w:r>
      <w:r w:rsidR="00FB0247">
        <w:rPr>
          <w:rStyle w:val="FootnoteReference"/>
          <w:rFonts w:ascii="Times New Roman" w:hAnsi="Times New Roman" w:cs="Times New Roman"/>
        </w:rPr>
        <w:footnoteReference w:id="34"/>
      </w:r>
      <w:r>
        <w:rPr>
          <w:rFonts w:ascii="Times New Roman" w:hAnsi="Times New Roman" w:cs="Times New Roman"/>
        </w:rPr>
        <w:t xml:space="preserve">, and </w:t>
      </w:r>
      <w:r w:rsidR="00FB0247">
        <w:rPr>
          <w:rFonts w:ascii="Times New Roman" w:hAnsi="Times New Roman" w:cs="Times New Roman"/>
        </w:rPr>
        <w:t>were unchallenged in his cross examination.</w:t>
      </w:r>
      <w:r w:rsidR="003448DB" w:rsidRPr="00DE5984">
        <w:rPr>
          <w:rFonts w:ascii="Times New Roman" w:hAnsi="Times New Roman" w:cs="Times New Roman"/>
        </w:rPr>
        <w:t xml:space="preserve"> </w:t>
      </w:r>
      <w:r w:rsidR="001A2C06">
        <w:rPr>
          <w:rFonts w:ascii="Times New Roman" w:hAnsi="Times New Roman" w:cs="Times New Roman"/>
        </w:rPr>
        <w:t>The Appellant’s figures</w:t>
      </w:r>
      <w:r w:rsidR="001A2C06">
        <w:rPr>
          <w:rStyle w:val="FootnoteReference"/>
          <w:rFonts w:ascii="Times New Roman" w:hAnsi="Times New Roman" w:cs="Times New Roman"/>
        </w:rPr>
        <w:footnoteReference w:id="35"/>
      </w:r>
      <w:r w:rsidR="001A2C06">
        <w:rPr>
          <w:rFonts w:ascii="Times New Roman" w:hAnsi="Times New Roman" w:cs="Times New Roman"/>
        </w:rPr>
        <w:t xml:space="preserve"> of between 12.5 and 15m are not a fair reflection of the true gap. </w:t>
      </w:r>
      <w:r w:rsidR="00E038D2">
        <w:rPr>
          <w:rFonts w:ascii="Times New Roman" w:hAnsi="Times New Roman" w:cs="Times New Roman"/>
        </w:rPr>
        <w:t>Karen</w:t>
      </w:r>
      <w:r w:rsidR="0042122D">
        <w:rPr>
          <w:rFonts w:ascii="Times New Roman" w:hAnsi="Times New Roman" w:cs="Times New Roman"/>
        </w:rPr>
        <w:t xml:space="preserve"> Daye</w:t>
      </w:r>
      <w:r w:rsidR="00E038D2">
        <w:rPr>
          <w:rFonts w:ascii="Times New Roman" w:hAnsi="Times New Roman" w:cs="Times New Roman"/>
        </w:rPr>
        <w:t xml:space="preserve"> gave a vivid illustration of just how narrow the width of 7.68m between the blocks was by explaining in her evidence in chief that it was “</w:t>
      </w:r>
      <w:r w:rsidR="00E038D2" w:rsidRPr="00E038D2">
        <w:rPr>
          <w:rFonts w:ascii="Times New Roman" w:hAnsi="Times New Roman" w:cs="Times New Roman"/>
          <w:i/>
          <w:iCs/>
        </w:rPr>
        <w:t>less than width of this room</w:t>
      </w:r>
      <w:r w:rsidR="00E038D2">
        <w:rPr>
          <w:rFonts w:ascii="Times New Roman" w:hAnsi="Times New Roman" w:cs="Times New Roman"/>
        </w:rPr>
        <w:t>”.</w:t>
      </w:r>
      <w:r w:rsidR="007A5165">
        <w:rPr>
          <w:rFonts w:ascii="Times New Roman" w:hAnsi="Times New Roman" w:cs="Times New Roman"/>
        </w:rPr>
        <w:t xml:space="preserve"> </w:t>
      </w:r>
      <w:r w:rsidR="00C51CCB">
        <w:rPr>
          <w:rFonts w:ascii="Times New Roman" w:hAnsi="Times New Roman" w:cs="Times New Roman"/>
        </w:rPr>
        <w:t>A key privacy issue is mutual overlooking</w:t>
      </w:r>
      <w:r w:rsidR="004E3F8A">
        <w:rPr>
          <w:rFonts w:ascii="Times New Roman" w:hAnsi="Times New Roman" w:cs="Times New Roman"/>
        </w:rPr>
        <w:t xml:space="preserve">, with </w:t>
      </w:r>
      <w:r w:rsidR="00C51CCB">
        <w:rPr>
          <w:rFonts w:ascii="Times New Roman" w:hAnsi="Times New Roman" w:cs="Times New Roman"/>
        </w:rPr>
        <w:t>bedrooms looking directly into each other, block to block.</w:t>
      </w:r>
    </w:p>
    <w:p w14:paraId="4880E89C" w14:textId="77777777" w:rsidR="00191A8E" w:rsidRDefault="00191A8E" w:rsidP="000609E9">
      <w:pPr>
        <w:spacing w:line="360" w:lineRule="auto"/>
        <w:jc w:val="both"/>
        <w:rPr>
          <w:rFonts w:ascii="Times New Roman" w:hAnsi="Times New Roman" w:cs="Times New Roman"/>
        </w:rPr>
      </w:pPr>
    </w:p>
    <w:p w14:paraId="6732276D" w14:textId="77777777" w:rsidR="00811ADD" w:rsidRDefault="00811ADD" w:rsidP="000609E9">
      <w:pPr>
        <w:spacing w:line="360" w:lineRule="auto"/>
        <w:jc w:val="both"/>
        <w:rPr>
          <w:rFonts w:ascii="Times New Roman" w:hAnsi="Times New Roman" w:cs="Times New Roman"/>
        </w:rPr>
      </w:pPr>
    </w:p>
    <w:p w14:paraId="74C293F8" w14:textId="77777777" w:rsidR="00811ADD" w:rsidRPr="00DD35BD" w:rsidRDefault="00811ADD" w:rsidP="000609E9">
      <w:pPr>
        <w:spacing w:line="360" w:lineRule="auto"/>
        <w:jc w:val="both"/>
        <w:rPr>
          <w:rFonts w:ascii="Times New Roman" w:hAnsi="Times New Roman" w:cs="Times New Roman"/>
        </w:rPr>
      </w:pPr>
    </w:p>
    <w:p w14:paraId="6653001D" w14:textId="2E198387" w:rsidR="004C0069" w:rsidRPr="00995B08" w:rsidRDefault="004C0069" w:rsidP="000609E9">
      <w:pPr>
        <w:spacing w:line="360" w:lineRule="auto"/>
        <w:jc w:val="both"/>
        <w:rPr>
          <w:rFonts w:ascii="Times New Roman" w:hAnsi="Times New Roman" w:cs="Times New Roman"/>
          <w:b/>
          <w:bCs/>
          <w:u w:val="single"/>
        </w:rPr>
      </w:pPr>
      <w:r w:rsidRPr="00995B08">
        <w:rPr>
          <w:rFonts w:ascii="Times New Roman" w:hAnsi="Times New Roman" w:cs="Times New Roman"/>
          <w:b/>
          <w:bCs/>
          <w:u w:val="single"/>
        </w:rPr>
        <w:t>Main Issue 3: Living conditions</w:t>
      </w:r>
      <w:r w:rsidR="00EF5890" w:rsidRPr="00995B08">
        <w:rPr>
          <w:rFonts w:ascii="Times New Roman" w:hAnsi="Times New Roman" w:cs="Times New Roman"/>
          <w:b/>
          <w:bCs/>
          <w:u w:val="single"/>
        </w:rPr>
        <w:t xml:space="preserve"> of surrounding occupiers (d</w:t>
      </w:r>
      <w:r w:rsidRPr="00995B08">
        <w:rPr>
          <w:rFonts w:ascii="Times New Roman" w:hAnsi="Times New Roman" w:cs="Times New Roman"/>
          <w:b/>
          <w:bCs/>
          <w:u w:val="single"/>
        </w:rPr>
        <w:t xml:space="preserve">aylight and </w:t>
      </w:r>
      <w:r w:rsidR="00EF5890" w:rsidRPr="00995B08">
        <w:rPr>
          <w:rFonts w:ascii="Times New Roman" w:hAnsi="Times New Roman" w:cs="Times New Roman"/>
          <w:b/>
          <w:bCs/>
          <w:u w:val="single"/>
        </w:rPr>
        <w:t>overshadowing)</w:t>
      </w:r>
    </w:p>
    <w:p w14:paraId="0B989267" w14:textId="77777777" w:rsidR="007E0399" w:rsidRDefault="007E0399" w:rsidP="000609E9">
      <w:pPr>
        <w:spacing w:line="360" w:lineRule="auto"/>
        <w:jc w:val="both"/>
        <w:rPr>
          <w:rFonts w:ascii="Times New Roman" w:hAnsi="Times New Roman" w:cs="Times New Roman"/>
          <w:u w:val="single"/>
        </w:rPr>
      </w:pPr>
    </w:p>
    <w:p w14:paraId="3BB1DCDF" w14:textId="3A44FBC9" w:rsidR="006367F7" w:rsidRDefault="003B15B9" w:rsidP="000609E9">
      <w:pPr>
        <w:spacing w:line="360" w:lineRule="auto"/>
        <w:jc w:val="both"/>
        <w:rPr>
          <w:rFonts w:ascii="Times New Roman" w:hAnsi="Times New Roman" w:cs="Times New Roman"/>
          <w:u w:val="single"/>
        </w:rPr>
      </w:pPr>
      <w:r w:rsidRPr="003B15B9">
        <w:rPr>
          <w:rFonts w:ascii="Times New Roman" w:hAnsi="Times New Roman" w:cs="Times New Roman"/>
          <w:u w:val="single"/>
        </w:rPr>
        <w:t>Daylight</w:t>
      </w:r>
    </w:p>
    <w:p w14:paraId="7FA85543" w14:textId="77777777" w:rsidR="006367F7" w:rsidRPr="006367F7" w:rsidRDefault="006367F7" w:rsidP="000609E9">
      <w:pPr>
        <w:spacing w:line="360" w:lineRule="auto"/>
        <w:jc w:val="both"/>
        <w:rPr>
          <w:rFonts w:ascii="Times New Roman" w:hAnsi="Times New Roman" w:cs="Times New Roman"/>
          <w:u w:val="single"/>
        </w:rPr>
      </w:pPr>
    </w:p>
    <w:p w14:paraId="35B14628" w14:textId="5ACF27ED" w:rsidR="00B6015F" w:rsidRPr="003E2F34" w:rsidRDefault="00B202FD" w:rsidP="00066210">
      <w:pPr>
        <w:pStyle w:val="ListParagraph"/>
        <w:numPr>
          <w:ilvl w:val="0"/>
          <w:numId w:val="5"/>
        </w:numPr>
        <w:spacing w:line="360" w:lineRule="auto"/>
        <w:jc w:val="both"/>
        <w:rPr>
          <w:rFonts w:ascii="Times New Roman" w:hAnsi="Times New Roman" w:cs="Times New Roman"/>
        </w:rPr>
      </w:pPr>
      <w:r w:rsidRPr="003E2F34">
        <w:rPr>
          <w:rFonts w:ascii="Times New Roman" w:hAnsi="Times New Roman" w:cs="Times New Roman"/>
        </w:rPr>
        <w:t xml:space="preserve">The Appellants have accepted that a considerable amount of work was undertaken by </w:t>
      </w:r>
      <w:r w:rsidR="003441D7">
        <w:rPr>
          <w:rFonts w:ascii="Times New Roman" w:hAnsi="Times New Roman" w:cs="Times New Roman"/>
        </w:rPr>
        <w:t xml:space="preserve">Dan </w:t>
      </w:r>
      <w:r w:rsidRPr="003E2F34">
        <w:rPr>
          <w:rFonts w:ascii="Times New Roman" w:hAnsi="Times New Roman" w:cs="Times New Roman"/>
        </w:rPr>
        <w:t xml:space="preserve">Wade to </w:t>
      </w:r>
      <w:r w:rsidR="00100AD4" w:rsidRPr="003E2F34">
        <w:rPr>
          <w:rFonts w:ascii="Times New Roman" w:hAnsi="Times New Roman" w:cs="Times New Roman"/>
        </w:rPr>
        <w:t>deal with the errors in the modelling. An application for a partial award of costs has been made and is not resisted by the Appellant.</w:t>
      </w:r>
      <w:r w:rsidR="00BA6CDA" w:rsidRPr="003E2F34">
        <w:rPr>
          <w:rFonts w:ascii="Times New Roman" w:hAnsi="Times New Roman" w:cs="Times New Roman"/>
        </w:rPr>
        <w:t xml:space="preserve"> </w:t>
      </w:r>
      <w:r w:rsidR="00B6015F" w:rsidRPr="003E2F34">
        <w:rPr>
          <w:rFonts w:ascii="Times New Roman" w:hAnsi="Times New Roman" w:cs="Times New Roman"/>
        </w:rPr>
        <w:t>Tomas</w:t>
      </w:r>
      <w:r w:rsidR="00F27D6D" w:rsidRPr="003E2F34">
        <w:rPr>
          <w:rFonts w:ascii="Times New Roman" w:hAnsi="Times New Roman" w:cs="Times New Roman"/>
        </w:rPr>
        <w:t xml:space="preserve"> Keating </w:t>
      </w:r>
      <w:r w:rsidR="00B6015F" w:rsidRPr="003E2F34">
        <w:rPr>
          <w:rFonts w:ascii="Times New Roman" w:hAnsi="Times New Roman" w:cs="Times New Roman"/>
        </w:rPr>
        <w:t xml:space="preserve">explained in his </w:t>
      </w:r>
      <w:r w:rsidR="00EF7F04">
        <w:rPr>
          <w:rFonts w:ascii="Times New Roman" w:hAnsi="Times New Roman" w:cs="Times New Roman"/>
        </w:rPr>
        <w:t>R</w:t>
      </w:r>
      <w:r w:rsidR="00B6015F" w:rsidRPr="003E2F34">
        <w:rPr>
          <w:rFonts w:ascii="Times New Roman" w:hAnsi="Times New Roman" w:cs="Times New Roman"/>
        </w:rPr>
        <w:t>ebuttal</w:t>
      </w:r>
      <w:r w:rsidR="00B6015F">
        <w:rPr>
          <w:rStyle w:val="FootnoteReference"/>
          <w:rFonts w:ascii="Times New Roman" w:hAnsi="Times New Roman" w:cs="Times New Roman"/>
        </w:rPr>
        <w:footnoteReference w:id="36"/>
      </w:r>
      <w:r w:rsidR="003E2F34" w:rsidRPr="003E2F34">
        <w:rPr>
          <w:rFonts w:ascii="Times New Roman" w:hAnsi="Times New Roman" w:cs="Times New Roman"/>
        </w:rPr>
        <w:t xml:space="preserve"> that there “</w:t>
      </w:r>
      <w:r w:rsidR="00B6015F" w:rsidRPr="003E2F34">
        <w:rPr>
          <w:rFonts w:ascii="Times New Roman" w:hAnsi="Times New Roman" w:cs="Times New Roman"/>
          <w:i/>
          <w:iCs/>
        </w:rPr>
        <w:t>were a number of technical errors within the assessment model</w:t>
      </w:r>
      <w:r w:rsidR="003E2F34" w:rsidRPr="003E2F34">
        <w:rPr>
          <w:rFonts w:ascii="Times New Roman" w:hAnsi="Times New Roman" w:cs="Times New Roman"/>
          <w:i/>
          <w:iCs/>
        </w:rPr>
        <w:t>…</w:t>
      </w:r>
      <w:r w:rsidR="00B6015F" w:rsidRPr="003E2F34">
        <w:rPr>
          <w:rFonts w:ascii="Times New Roman" w:hAnsi="Times New Roman" w:cs="Times New Roman"/>
          <w:i/>
          <w:iCs/>
        </w:rPr>
        <w:t xml:space="preserve"> as well as some gaps in the assessment methodology</w:t>
      </w:r>
      <w:r w:rsidR="003E2F34" w:rsidRPr="003E2F34">
        <w:rPr>
          <w:rFonts w:ascii="Times New Roman" w:hAnsi="Times New Roman" w:cs="Times New Roman"/>
          <w:i/>
          <w:iCs/>
        </w:rPr>
        <w:t>”</w:t>
      </w:r>
      <w:r w:rsidR="0043044B">
        <w:rPr>
          <w:rFonts w:ascii="Times New Roman" w:hAnsi="Times New Roman" w:cs="Times New Roman"/>
        </w:rPr>
        <w:t>. He expressed his “</w:t>
      </w:r>
      <w:r w:rsidR="0043044B">
        <w:rPr>
          <w:rFonts w:ascii="Times New Roman" w:hAnsi="Times New Roman" w:cs="Times New Roman"/>
          <w:i/>
          <w:iCs/>
        </w:rPr>
        <w:t>regret”</w:t>
      </w:r>
      <w:r w:rsidR="0043044B">
        <w:rPr>
          <w:rFonts w:ascii="Times New Roman" w:hAnsi="Times New Roman" w:cs="Times New Roman"/>
        </w:rPr>
        <w:t xml:space="preserve"> and noted he had “</w:t>
      </w:r>
      <w:r w:rsidR="0043044B">
        <w:rPr>
          <w:rFonts w:ascii="Times New Roman" w:hAnsi="Times New Roman" w:cs="Times New Roman"/>
          <w:i/>
          <w:iCs/>
        </w:rPr>
        <w:t xml:space="preserve">failed to </w:t>
      </w:r>
      <w:r w:rsidR="00B6015F" w:rsidRPr="003E2F34">
        <w:rPr>
          <w:rFonts w:ascii="Times New Roman" w:hAnsi="Times New Roman" w:cs="Times New Roman"/>
          <w:i/>
          <w:iCs/>
        </w:rPr>
        <w:t>carry out an adequate quality assurance review</w:t>
      </w:r>
      <w:r w:rsidR="0043044B">
        <w:rPr>
          <w:rFonts w:ascii="Times New Roman" w:hAnsi="Times New Roman" w:cs="Times New Roman"/>
          <w:i/>
          <w:iCs/>
        </w:rPr>
        <w:t>”</w:t>
      </w:r>
      <w:r w:rsidR="0043044B">
        <w:rPr>
          <w:rFonts w:ascii="Times New Roman" w:hAnsi="Times New Roman" w:cs="Times New Roman"/>
        </w:rPr>
        <w:t xml:space="preserve"> which </w:t>
      </w:r>
      <w:r w:rsidR="003E2F34">
        <w:rPr>
          <w:rFonts w:ascii="Times New Roman" w:hAnsi="Times New Roman" w:cs="Times New Roman"/>
        </w:rPr>
        <w:t>was “</w:t>
      </w:r>
      <w:r w:rsidR="00B6015F" w:rsidRPr="003E2F34">
        <w:rPr>
          <w:rFonts w:ascii="Times New Roman" w:hAnsi="Times New Roman" w:cs="Times New Roman"/>
          <w:i/>
          <w:iCs/>
        </w:rPr>
        <w:t>evidently an error which I hold myself fully accountable for and seek to redress</w:t>
      </w:r>
      <w:r w:rsidR="00B6015F" w:rsidRPr="003E2F34">
        <w:rPr>
          <w:rFonts w:ascii="Times New Roman" w:hAnsi="Times New Roman" w:cs="Times New Roman"/>
        </w:rPr>
        <w:t>”</w:t>
      </w:r>
      <w:r w:rsidR="003E2F34">
        <w:rPr>
          <w:rFonts w:ascii="Times New Roman" w:hAnsi="Times New Roman" w:cs="Times New Roman"/>
        </w:rPr>
        <w:t>. He also said he expressed his “</w:t>
      </w:r>
      <w:r w:rsidR="00B6015F" w:rsidRPr="003E2F34">
        <w:rPr>
          <w:rFonts w:ascii="Times New Roman" w:hAnsi="Times New Roman" w:cs="Times New Roman"/>
          <w:i/>
          <w:iCs/>
        </w:rPr>
        <w:t>gratitude to Dan Wade for pointing out these errors</w:t>
      </w:r>
      <w:r w:rsidR="00B6015F" w:rsidRPr="003E2F34">
        <w:rPr>
          <w:rFonts w:ascii="Times New Roman" w:hAnsi="Times New Roman" w:cs="Times New Roman"/>
        </w:rPr>
        <w:t>”</w:t>
      </w:r>
      <w:r w:rsidR="003E2F34">
        <w:rPr>
          <w:rFonts w:ascii="Times New Roman" w:hAnsi="Times New Roman" w:cs="Times New Roman"/>
        </w:rPr>
        <w:t>.</w:t>
      </w:r>
    </w:p>
    <w:p w14:paraId="7EA26A89" w14:textId="77777777" w:rsidR="00B6015F" w:rsidRPr="00B6015F" w:rsidRDefault="00B6015F" w:rsidP="00B6015F">
      <w:pPr>
        <w:spacing w:line="360" w:lineRule="auto"/>
        <w:jc w:val="both"/>
        <w:rPr>
          <w:rFonts w:ascii="Times New Roman" w:hAnsi="Times New Roman" w:cs="Times New Roman"/>
        </w:rPr>
      </w:pPr>
    </w:p>
    <w:p w14:paraId="06D8D98D" w14:textId="59BFF044" w:rsidR="006E241F" w:rsidRDefault="00BA6CDA" w:rsidP="00066210">
      <w:pPr>
        <w:pStyle w:val="ListParagraph"/>
        <w:numPr>
          <w:ilvl w:val="0"/>
          <w:numId w:val="5"/>
        </w:numPr>
        <w:spacing w:line="360" w:lineRule="auto"/>
        <w:jc w:val="both"/>
        <w:rPr>
          <w:rFonts w:ascii="Times New Roman" w:hAnsi="Times New Roman" w:cs="Times New Roman"/>
        </w:rPr>
      </w:pPr>
      <w:r>
        <w:rPr>
          <w:rFonts w:ascii="Times New Roman" w:hAnsi="Times New Roman" w:cs="Times New Roman"/>
        </w:rPr>
        <w:t>As a result</w:t>
      </w:r>
      <w:r w:rsidR="00F609FF">
        <w:rPr>
          <w:rFonts w:ascii="Times New Roman" w:hAnsi="Times New Roman" w:cs="Times New Roman"/>
        </w:rPr>
        <w:t xml:space="preserve"> of the work done to check and correct the errors,</w:t>
      </w:r>
      <w:r>
        <w:rPr>
          <w:rFonts w:ascii="Times New Roman" w:hAnsi="Times New Roman" w:cs="Times New Roman"/>
        </w:rPr>
        <w:t xml:space="preserve"> </w:t>
      </w:r>
      <w:r w:rsidR="00F609FF">
        <w:rPr>
          <w:rFonts w:ascii="Times New Roman" w:hAnsi="Times New Roman" w:cs="Times New Roman"/>
        </w:rPr>
        <w:t>the parties</w:t>
      </w:r>
      <w:r>
        <w:rPr>
          <w:rFonts w:ascii="Times New Roman" w:hAnsi="Times New Roman" w:cs="Times New Roman"/>
        </w:rPr>
        <w:t xml:space="preserve"> agreed </w:t>
      </w:r>
      <w:r w:rsidR="003E2CD4">
        <w:rPr>
          <w:rFonts w:ascii="Times New Roman" w:hAnsi="Times New Roman" w:cs="Times New Roman"/>
        </w:rPr>
        <w:t xml:space="preserve">the </w:t>
      </w:r>
      <w:r w:rsidR="00980E56">
        <w:rPr>
          <w:rFonts w:ascii="Times New Roman" w:hAnsi="Times New Roman" w:cs="Times New Roman"/>
        </w:rPr>
        <w:t xml:space="preserve">Statement of Common Ground for </w:t>
      </w:r>
      <w:r>
        <w:rPr>
          <w:rFonts w:ascii="Times New Roman" w:hAnsi="Times New Roman" w:cs="Times New Roman"/>
        </w:rPr>
        <w:t>Daylight and Sunligh</w:t>
      </w:r>
      <w:r w:rsidR="00F609FF">
        <w:rPr>
          <w:rFonts w:ascii="Times New Roman" w:hAnsi="Times New Roman" w:cs="Times New Roman"/>
        </w:rPr>
        <w:t xml:space="preserve">t. In due course a hand written Addendum to the Statement of Common Ground was provided agreeing that outstanding errors in the Appellant’s model were </w:t>
      </w:r>
      <w:r w:rsidR="006E241F">
        <w:rPr>
          <w:rFonts w:ascii="Times New Roman" w:hAnsi="Times New Roman" w:cs="Times New Roman"/>
        </w:rPr>
        <w:t xml:space="preserve">present, but not </w:t>
      </w:r>
      <w:r w:rsidR="00B82FD5">
        <w:rPr>
          <w:rFonts w:ascii="Times New Roman" w:hAnsi="Times New Roman" w:cs="Times New Roman"/>
        </w:rPr>
        <w:t>likely</w:t>
      </w:r>
      <w:r w:rsidR="006E241F">
        <w:rPr>
          <w:rFonts w:ascii="Times New Roman" w:hAnsi="Times New Roman" w:cs="Times New Roman"/>
        </w:rPr>
        <w:t xml:space="preserve"> to have any meaningful impact on the results</w:t>
      </w:r>
      <w:r>
        <w:rPr>
          <w:rFonts w:ascii="Times New Roman" w:hAnsi="Times New Roman" w:cs="Times New Roman"/>
        </w:rPr>
        <w:t xml:space="preserve">. </w:t>
      </w:r>
    </w:p>
    <w:p w14:paraId="4E47A50F" w14:textId="77777777" w:rsidR="006E241F" w:rsidRPr="006E241F" w:rsidRDefault="006E241F" w:rsidP="006E241F">
      <w:pPr>
        <w:pStyle w:val="ListParagraph"/>
        <w:rPr>
          <w:rFonts w:ascii="Times New Roman" w:hAnsi="Times New Roman" w:cs="Times New Roman"/>
        </w:rPr>
      </w:pPr>
    </w:p>
    <w:p w14:paraId="746757CE" w14:textId="583BA8B5" w:rsidR="006E241F" w:rsidRPr="00E9788D" w:rsidRDefault="006E241F" w:rsidP="00066210">
      <w:pPr>
        <w:pStyle w:val="ListParagraph"/>
        <w:numPr>
          <w:ilvl w:val="0"/>
          <w:numId w:val="5"/>
        </w:numPr>
        <w:spacing w:line="360" w:lineRule="auto"/>
        <w:jc w:val="both"/>
        <w:rPr>
          <w:rFonts w:ascii="Times New Roman" w:hAnsi="Times New Roman" w:cs="Times New Roman"/>
          <w:b/>
          <w:bCs/>
        </w:rPr>
      </w:pPr>
      <w:r w:rsidRPr="00E9788D">
        <w:rPr>
          <w:rFonts w:ascii="Times New Roman" w:hAnsi="Times New Roman" w:cs="Times New Roman"/>
        </w:rPr>
        <w:t xml:space="preserve">Dan Wade </w:t>
      </w:r>
      <w:r w:rsidR="003E2CD4">
        <w:rPr>
          <w:rFonts w:ascii="Times New Roman" w:hAnsi="Times New Roman" w:cs="Times New Roman"/>
        </w:rPr>
        <w:t>explains</w:t>
      </w:r>
      <w:r w:rsidRPr="00E9788D">
        <w:rPr>
          <w:rFonts w:ascii="Times New Roman" w:hAnsi="Times New Roman" w:cs="Times New Roman"/>
        </w:rPr>
        <w:t xml:space="preserve"> </w:t>
      </w:r>
      <w:r w:rsidR="003E2CD4">
        <w:rPr>
          <w:rFonts w:ascii="Times New Roman" w:hAnsi="Times New Roman" w:cs="Times New Roman"/>
        </w:rPr>
        <w:t>i</w:t>
      </w:r>
      <w:r w:rsidRPr="00E9788D">
        <w:rPr>
          <w:rFonts w:ascii="Times New Roman" w:hAnsi="Times New Roman" w:cs="Times New Roman"/>
        </w:rPr>
        <w:t xml:space="preserve">n his Rebuttal </w:t>
      </w:r>
      <w:r w:rsidR="003E2CD4">
        <w:rPr>
          <w:rFonts w:ascii="Times New Roman" w:hAnsi="Times New Roman" w:cs="Times New Roman"/>
        </w:rPr>
        <w:t xml:space="preserve">that </w:t>
      </w:r>
      <w:r w:rsidRPr="00E9788D">
        <w:rPr>
          <w:rFonts w:ascii="Times New Roman" w:hAnsi="Times New Roman" w:cs="Times New Roman"/>
        </w:rPr>
        <w:t>he relies upon a “traffic lights system”</w:t>
      </w:r>
      <w:r>
        <w:rPr>
          <w:rStyle w:val="FootnoteReference"/>
          <w:rFonts w:ascii="Times New Roman" w:hAnsi="Times New Roman" w:cs="Times New Roman"/>
        </w:rPr>
        <w:footnoteReference w:id="37"/>
      </w:r>
      <w:r w:rsidRPr="00E9788D">
        <w:rPr>
          <w:rFonts w:ascii="Times New Roman" w:hAnsi="Times New Roman" w:cs="Times New Roman"/>
        </w:rPr>
        <w:t xml:space="preserve"> which shows adequate light provision coloured in green, which is deemed a “pass”, and inadequate light provision coloured in amber and red, which is deemed a “failure”. We invite the Inspector to adopt his system, as there was no challenge to it. It is immediately clear from looking at Dan Wade’s tables</w:t>
      </w:r>
      <w:r>
        <w:rPr>
          <w:rStyle w:val="FootnoteReference"/>
          <w:rFonts w:ascii="Times New Roman" w:hAnsi="Times New Roman" w:cs="Times New Roman"/>
        </w:rPr>
        <w:footnoteReference w:id="38"/>
      </w:r>
      <w:r w:rsidRPr="00E9788D">
        <w:rPr>
          <w:rFonts w:ascii="Times New Roman" w:hAnsi="Times New Roman" w:cs="Times New Roman"/>
        </w:rPr>
        <w:t xml:space="preserve"> that there is a considerable amount of unacceptable light loss: there are many windows coloured in red. </w:t>
      </w:r>
      <w:r w:rsidR="00B82FD5">
        <w:rPr>
          <w:rFonts w:ascii="Times New Roman" w:hAnsi="Times New Roman" w:cs="Times New Roman"/>
        </w:rPr>
        <w:t>His</w:t>
      </w:r>
      <w:r w:rsidRPr="00E9788D">
        <w:rPr>
          <w:rFonts w:ascii="Times New Roman" w:hAnsi="Times New Roman" w:cs="Times New Roman"/>
        </w:rPr>
        <w:t xml:space="preserve"> Rebuttal goes on to analyse</w:t>
      </w:r>
      <w:r>
        <w:rPr>
          <w:rStyle w:val="FootnoteReference"/>
          <w:rFonts w:ascii="Times New Roman" w:hAnsi="Times New Roman" w:cs="Times New Roman"/>
        </w:rPr>
        <w:footnoteReference w:id="39"/>
      </w:r>
      <w:r w:rsidRPr="00E9788D">
        <w:rPr>
          <w:rFonts w:ascii="Times New Roman" w:hAnsi="Times New Roman" w:cs="Times New Roman"/>
        </w:rPr>
        <w:t xml:space="preserve"> 6 properties would be particularly affected by light loss:</w:t>
      </w:r>
    </w:p>
    <w:p w14:paraId="3BA08068" w14:textId="77777777" w:rsidR="006E241F" w:rsidRDefault="006E241F" w:rsidP="00066210">
      <w:pPr>
        <w:pStyle w:val="ListParagraph"/>
        <w:numPr>
          <w:ilvl w:val="1"/>
          <w:numId w:val="5"/>
        </w:numPr>
        <w:spacing w:line="360" w:lineRule="auto"/>
        <w:jc w:val="both"/>
        <w:rPr>
          <w:rFonts w:ascii="Times New Roman" w:hAnsi="Times New Roman" w:cs="Times New Roman"/>
        </w:rPr>
      </w:pPr>
      <w:r>
        <w:rPr>
          <w:rFonts w:ascii="Times New Roman" w:hAnsi="Times New Roman" w:cs="Times New Roman"/>
        </w:rPr>
        <w:t>Henry House,</w:t>
      </w:r>
    </w:p>
    <w:p w14:paraId="176AF851" w14:textId="77777777" w:rsidR="006E241F" w:rsidRDefault="006E241F" w:rsidP="00066210">
      <w:pPr>
        <w:pStyle w:val="ListParagraph"/>
        <w:numPr>
          <w:ilvl w:val="1"/>
          <w:numId w:val="5"/>
        </w:numPr>
        <w:spacing w:line="360" w:lineRule="auto"/>
        <w:jc w:val="both"/>
        <w:rPr>
          <w:rFonts w:ascii="Times New Roman" w:hAnsi="Times New Roman" w:cs="Times New Roman"/>
        </w:rPr>
      </w:pPr>
      <w:r>
        <w:rPr>
          <w:rFonts w:ascii="Times New Roman" w:hAnsi="Times New Roman" w:cs="Times New Roman"/>
        </w:rPr>
        <w:t xml:space="preserve">William House, </w:t>
      </w:r>
    </w:p>
    <w:p w14:paraId="7DC4E96E" w14:textId="77777777" w:rsidR="006E241F" w:rsidRDefault="006E241F" w:rsidP="00066210">
      <w:pPr>
        <w:pStyle w:val="ListParagraph"/>
        <w:numPr>
          <w:ilvl w:val="1"/>
          <w:numId w:val="5"/>
        </w:numPr>
        <w:spacing w:line="360" w:lineRule="auto"/>
        <w:jc w:val="both"/>
        <w:rPr>
          <w:rFonts w:ascii="Times New Roman" w:hAnsi="Times New Roman" w:cs="Times New Roman"/>
        </w:rPr>
      </w:pPr>
      <w:r>
        <w:rPr>
          <w:rFonts w:ascii="Times New Roman" w:hAnsi="Times New Roman" w:cs="Times New Roman"/>
        </w:rPr>
        <w:lastRenderedPageBreak/>
        <w:t>Simpsons Place,</w:t>
      </w:r>
    </w:p>
    <w:p w14:paraId="063C0F09" w14:textId="77777777" w:rsidR="006E241F" w:rsidRDefault="006E241F" w:rsidP="00066210">
      <w:pPr>
        <w:pStyle w:val="ListParagraph"/>
        <w:numPr>
          <w:ilvl w:val="1"/>
          <w:numId w:val="5"/>
        </w:numPr>
        <w:spacing w:line="360" w:lineRule="auto"/>
        <w:jc w:val="both"/>
        <w:rPr>
          <w:rFonts w:ascii="Times New Roman" w:hAnsi="Times New Roman" w:cs="Times New Roman"/>
        </w:rPr>
      </w:pPr>
      <w:r>
        <w:rPr>
          <w:rFonts w:ascii="Times New Roman" w:hAnsi="Times New Roman" w:cs="Times New Roman"/>
        </w:rPr>
        <w:t xml:space="preserve">Salvation Army Church – Community Centre, </w:t>
      </w:r>
    </w:p>
    <w:p w14:paraId="4919794D" w14:textId="77777777" w:rsidR="006E241F" w:rsidRDefault="006E241F" w:rsidP="00066210">
      <w:pPr>
        <w:pStyle w:val="ListParagraph"/>
        <w:numPr>
          <w:ilvl w:val="1"/>
          <w:numId w:val="5"/>
        </w:numPr>
        <w:spacing w:line="360" w:lineRule="auto"/>
        <w:jc w:val="both"/>
        <w:rPr>
          <w:rFonts w:ascii="Times New Roman" w:hAnsi="Times New Roman" w:cs="Times New Roman"/>
        </w:rPr>
      </w:pPr>
      <w:r>
        <w:rPr>
          <w:rFonts w:ascii="Times New Roman" w:hAnsi="Times New Roman" w:cs="Times New Roman"/>
        </w:rPr>
        <w:t>62 High Street, and</w:t>
      </w:r>
    </w:p>
    <w:p w14:paraId="714F5F2E" w14:textId="77777777" w:rsidR="006E241F" w:rsidRDefault="006E241F" w:rsidP="00066210">
      <w:pPr>
        <w:pStyle w:val="ListParagraph"/>
        <w:numPr>
          <w:ilvl w:val="1"/>
          <w:numId w:val="5"/>
        </w:numPr>
        <w:spacing w:line="360" w:lineRule="auto"/>
        <w:jc w:val="both"/>
        <w:rPr>
          <w:rFonts w:ascii="Times New Roman" w:hAnsi="Times New Roman" w:cs="Times New Roman"/>
        </w:rPr>
      </w:pPr>
      <w:r>
        <w:rPr>
          <w:rFonts w:ascii="Times New Roman" w:hAnsi="Times New Roman" w:cs="Times New Roman"/>
        </w:rPr>
        <w:t>33-36 Ethelbert Court.</w:t>
      </w:r>
    </w:p>
    <w:p w14:paraId="0D034A3F" w14:textId="3D969C7C" w:rsidR="006E241F" w:rsidRPr="004C7807" w:rsidRDefault="00B62BB8" w:rsidP="006E241F">
      <w:pPr>
        <w:spacing w:line="360" w:lineRule="auto"/>
        <w:ind w:left="720"/>
        <w:jc w:val="both"/>
        <w:rPr>
          <w:rFonts w:ascii="Times New Roman" w:hAnsi="Times New Roman" w:cs="Times New Roman"/>
        </w:rPr>
      </w:pPr>
      <w:r>
        <w:rPr>
          <w:rFonts w:ascii="Times New Roman" w:hAnsi="Times New Roman" w:cs="Times New Roman"/>
        </w:rPr>
        <w:t>He</w:t>
      </w:r>
      <w:r w:rsidR="006E241F">
        <w:rPr>
          <w:rFonts w:ascii="Times New Roman" w:hAnsi="Times New Roman" w:cs="Times New Roman"/>
        </w:rPr>
        <w:t xml:space="preserve"> concludes</w:t>
      </w:r>
      <w:r w:rsidR="006E241F">
        <w:rPr>
          <w:rStyle w:val="FootnoteReference"/>
          <w:rFonts w:ascii="Times New Roman" w:hAnsi="Times New Roman" w:cs="Times New Roman"/>
        </w:rPr>
        <w:footnoteReference w:id="40"/>
      </w:r>
      <w:r w:rsidR="006E241F">
        <w:rPr>
          <w:rFonts w:ascii="Times New Roman" w:hAnsi="Times New Roman" w:cs="Times New Roman"/>
        </w:rPr>
        <w:t xml:space="preserve"> by stating that those 6 properties “</w:t>
      </w:r>
      <w:r w:rsidR="006E241F" w:rsidRPr="004C7807">
        <w:rPr>
          <w:rFonts w:ascii="Times New Roman" w:hAnsi="Times New Roman" w:cs="Times New Roman"/>
          <w:i/>
          <w:iCs/>
        </w:rPr>
        <w:t>will experience an unacceptable impact on a large percentage of their windows / rooms / amenity areas beyond those reasonable expectations of urban target setting</w:t>
      </w:r>
      <w:r w:rsidR="006E241F">
        <w:rPr>
          <w:rFonts w:ascii="Times New Roman" w:hAnsi="Times New Roman" w:cs="Times New Roman"/>
          <w:i/>
          <w:iCs/>
        </w:rPr>
        <w:t>”</w:t>
      </w:r>
      <w:r w:rsidR="006E241F">
        <w:rPr>
          <w:rFonts w:ascii="Times New Roman" w:hAnsi="Times New Roman" w:cs="Times New Roman"/>
        </w:rPr>
        <w:t>. There was no challenge to this conclusion in cross examination and we invite the Inspector to adopt it.</w:t>
      </w:r>
    </w:p>
    <w:p w14:paraId="524400F8" w14:textId="77777777" w:rsidR="006E241F" w:rsidRPr="00253A73" w:rsidRDefault="006E241F" w:rsidP="006E241F">
      <w:pPr>
        <w:spacing w:line="360" w:lineRule="auto"/>
        <w:jc w:val="both"/>
        <w:rPr>
          <w:rFonts w:ascii="Times New Roman" w:hAnsi="Times New Roman" w:cs="Times New Roman"/>
        </w:rPr>
      </w:pPr>
    </w:p>
    <w:p w14:paraId="54F5F168" w14:textId="374AC668" w:rsidR="00C12E3D" w:rsidRPr="00C12E3D" w:rsidRDefault="006E241F" w:rsidP="00B86AB0">
      <w:pPr>
        <w:pStyle w:val="ListParagraph"/>
        <w:numPr>
          <w:ilvl w:val="0"/>
          <w:numId w:val="5"/>
        </w:numPr>
        <w:spacing w:line="360" w:lineRule="auto"/>
        <w:jc w:val="both"/>
        <w:rPr>
          <w:rFonts w:ascii="Times New Roman" w:hAnsi="Times New Roman" w:cs="Times New Roman"/>
          <w:b/>
          <w:bCs/>
        </w:rPr>
      </w:pPr>
      <w:r>
        <w:rPr>
          <w:rFonts w:ascii="Times New Roman" w:hAnsi="Times New Roman" w:cs="Times New Roman"/>
        </w:rPr>
        <w:t>In cross examination</w:t>
      </w:r>
      <w:r>
        <w:rPr>
          <w:rStyle w:val="FootnoteReference"/>
          <w:rFonts w:ascii="Times New Roman" w:hAnsi="Times New Roman" w:cs="Times New Roman"/>
        </w:rPr>
        <w:footnoteReference w:id="41"/>
      </w:r>
      <w:r>
        <w:rPr>
          <w:rFonts w:ascii="Times New Roman" w:hAnsi="Times New Roman" w:cs="Times New Roman"/>
        </w:rPr>
        <w:t>, Dan Wade was asked about other appeal decisions. His evidence in reply was that he hadn’t been provided with an accurate model to compare the present proposal to those other decisions and had focused on the numerous attempts to resolve the modelling issue</w:t>
      </w:r>
      <w:r w:rsidRPr="007E341F">
        <w:rPr>
          <w:rFonts w:ascii="Times New Roman" w:hAnsi="Times New Roman" w:cs="Times New Roman"/>
        </w:rPr>
        <w:t>.</w:t>
      </w:r>
      <w:r>
        <w:rPr>
          <w:rFonts w:ascii="Times New Roman" w:hAnsi="Times New Roman" w:cs="Times New Roman"/>
        </w:rPr>
        <w:t xml:space="preserve"> </w:t>
      </w:r>
      <w:r w:rsidR="00EF7F04">
        <w:rPr>
          <w:rFonts w:ascii="Times New Roman" w:hAnsi="Times New Roman" w:cs="Times New Roman"/>
        </w:rPr>
        <w:t xml:space="preserve">The relevance of the decisions referred to by Tomas Keating are questionable. </w:t>
      </w:r>
      <w:r w:rsidR="008138E6">
        <w:rPr>
          <w:rFonts w:ascii="Times New Roman" w:hAnsi="Times New Roman" w:cs="Times New Roman"/>
        </w:rPr>
        <w:t xml:space="preserve">By way of example, </w:t>
      </w:r>
      <w:r w:rsidR="00EF7F04">
        <w:rPr>
          <w:rFonts w:ascii="Times New Roman" w:hAnsi="Times New Roman" w:cs="Times New Roman"/>
        </w:rPr>
        <w:t xml:space="preserve">he </w:t>
      </w:r>
      <w:r w:rsidR="008138E6">
        <w:rPr>
          <w:rFonts w:ascii="Times New Roman" w:hAnsi="Times New Roman" w:cs="Times New Roman"/>
        </w:rPr>
        <w:t>agreed in cross examination that the Whitechapel decision was pre BRE Guidance.</w:t>
      </w:r>
      <w:r w:rsidR="00CF701A">
        <w:rPr>
          <w:rFonts w:ascii="Times New Roman" w:hAnsi="Times New Roman" w:cs="Times New Roman"/>
        </w:rPr>
        <w:t xml:space="preserve"> </w:t>
      </w:r>
      <w:r w:rsidR="008138E6">
        <w:rPr>
          <w:rFonts w:ascii="Times New Roman" w:hAnsi="Times New Roman" w:cs="Times New Roman"/>
        </w:rPr>
        <w:t xml:space="preserve">The decisions </w:t>
      </w:r>
      <w:r w:rsidR="00CF701A">
        <w:rPr>
          <w:rFonts w:ascii="Times New Roman" w:hAnsi="Times New Roman" w:cs="Times New Roman"/>
        </w:rPr>
        <w:t>are also distinguished on their own facts</w:t>
      </w:r>
      <w:r w:rsidR="008138E6">
        <w:rPr>
          <w:rFonts w:ascii="Times New Roman" w:hAnsi="Times New Roman" w:cs="Times New Roman"/>
        </w:rPr>
        <w:t xml:space="preserve">, and </w:t>
      </w:r>
      <w:r w:rsidR="007A4D30">
        <w:rPr>
          <w:rFonts w:ascii="Times New Roman" w:hAnsi="Times New Roman" w:cs="Times New Roman"/>
        </w:rPr>
        <w:t xml:space="preserve">the Inspector has not been asked to visit any of those sites. </w:t>
      </w:r>
      <w:r w:rsidR="00B86AB0">
        <w:rPr>
          <w:rFonts w:ascii="Times New Roman" w:hAnsi="Times New Roman" w:cs="Times New Roman"/>
        </w:rPr>
        <w:t>As a result t</w:t>
      </w:r>
      <w:r w:rsidRPr="00B86AB0">
        <w:rPr>
          <w:rFonts w:ascii="Times New Roman" w:hAnsi="Times New Roman" w:cs="Times New Roman"/>
        </w:rPr>
        <w:t xml:space="preserve">he Inspector is invited to afford them limited weight. </w:t>
      </w:r>
    </w:p>
    <w:p w14:paraId="470AEE21" w14:textId="77777777" w:rsidR="00C12E3D" w:rsidRPr="00C12E3D" w:rsidRDefault="00C12E3D" w:rsidP="00C12E3D">
      <w:pPr>
        <w:pStyle w:val="ListParagraph"/>
        <w:spacing w:line="360" w:lineRule="auto"/>
        <w:jc w:val="both"/>
        <w:rPr>
          <w:rFonts w:ascii="Times New Roman" w:hAnsi="Times New Roman" w:cs="Times New Roman"/>
          <w:b/>
          <w:bCs/>
        </w:rPr>
      </w:pPr>
    </w:p>
    <w:p w14:paraId="0677C53F" w14:textId="4C9EBF3D" w:rsidR="00B86AB0" w:rsidRPr="00B86AB0" w:rsidRDefault="00C12E3D" w:rsidP="00B86AB0">
      <w:pPr>
        <w:pStyle w:val="ListParagraph"/>
        <w:numPr>
          <w:ilvl w:val="0"/>
          <w:numId w:val="5"/>
        </w:numPr>
        <w:spacing w:line="360" w:lineRule="auto"/>
        <w:jc w:val="both"/>
        <w:rPr>
          <w:rFonts w:ascii="Times New Roman" w:hAnsi="Times New Roman" w:cs="Times New Roman"/>
          <w:b/>
          <w:bCs/>
        </w:rPr>
      </w:pPr>
      <w:r>
        <w:rPr>
          <w:rFonts w:ascii="Times New Roman" w:hAnsi="Times New Roman" w:cs="Times New Roman"/>
        </w:rPr>
        <w:t xml:space="preserve">It is also significant that Tomas Keating agreed </w:t>
      </w:r>
      <w:r w:rsidR="00761062">
        <w:rPr>
          <w:rFonts w:ascii="Times New Roman" w:hAnsi="Times New Roman" w:cs="Times New Roman"/>
        </w:rPr>
        <w:t xml:space="preserve">in cross examination </w:t>
      </w:r>
      <w:r>
        <w:rPr>
          <w:rFonts w:ascii="Times New Roman" w:hAnsi="Times New Roman" w:cs="Times New Roman"/>
        </w:rPr>
        <w:t>that he had not been asked to consider any alternative scheme.</w:t>
      </w:r>
    </w:p>
    <w:p w14:paraId="38D2CD1E" w14:textId="77777777" w:rsidR="00B86AB0" w:rsidRPr="00B86AB0" w:rsidRDefault="00B86AB0" w:rsidP="00B86AB0">
      <w:pPr>
        <w:pStyle w:val="ListParagraph"/>
        <w:spacing w:line="360" w:lineRule="auto"/>
        <w:jc w:val="both"/>
        <w:rPr>
          <w:rFonts w:ascii="Times New Roman" w:hAnsi="Times New Roman" w:cs="Times New Roman"/>
          <w:b/>
          <w:bCs/>
        </w:rPr>
      </w:pPr>
    </w:p>
    <w:p w14:paraId="15E5F8C5" w14:textId="342A7934" w:rsidR="006E241F" w:rsidRPr="00B86AB0" w:rsidRDefault="00891021" w:rsidP="00B86AB0">
      <w:pPr>
        <w:pStyle w:val="ListParagraph"/>
        <w:numPr>
          <w:ilvl w:val="0"/>
          <w:numId w:val="5"/>
        </w:numPr>
        <w:spacing w:line="360" w:lineRule="auto"/>
        <w:jc w:val="both"/>
        <w:rPr>
          <w:rFonts w:ascii="Times New Roman" w:hAnsi="Times New Roman" w:cs="Times New Roman"/>
          <w:b/>
          <w:bCs/>
        </w:rPr>
      </w:pPr>
      <w:r>
        <w:rPr>
          <w:rFonts w:ascii="Times New Roman" w:hAnsi="Times New Roman" w:cs="Times New Roman"/>
        </w:rPr>
        <w:t xml:space="preserve">However, having been provided </w:t>
      </w:r>
      <w:r w:rsidR="002E5EA0">
        <w:rPr>
          <w:rFonts w:ascii="Times New Roman" w:hAnsi="Times New Roman" w:cs="Times New Roman"/>
        </w:rPr>
        <w:t>with</w:t>
      </w:r>
      <w:r>
        <w:rPr>
          <w:rFonts w:ascii="Times New Roman" w:hAnsi="Times New Roman" w:cs="Times New Roman"/>
        </w:rPr>
        <w:t xml:space="preserve"> voluminous information shortly before he was due to give evidence, Dan Wade did do</w:t>
      </w:r>
      <w:r w:rsidR="006E241F" w:rsidRPr="00B86AB0">
        <w:rPr>
          <w:rFonts w:ascii="Times New Roman" w:hAnsi="Times New Roman" w:cs="Times New Roman"/>
        </w:rPr>
        <w:t xml:space="preserve"> a significant comparison </w:t>
      </w:r>
      <w:r w:rsidR="002E5EA0">
        <w:rPr>
          <w:rFonts w:ascii="Times New Roman" w:hAnsi="Times New Roman" w:cs="Times New Roman"/>
        </w:rPr>
        <w:t xml:space="preserve">using his traffic light system </w:t>
      </w:r>
      <w:r w:rsidR="006E241F" w:rsidRPr="00B86AB0">
        <w:rPr>
          <w:rFonts w:ascii="Times New Roman" w:hAnsi="Times New Roman" w:cs="Times New Roman"/>
        </w:rPr>
        <w:t xml:space="preserve">with another application by Waitrose </w:t>
      </w:r>
      <w:r w:rsidR="004A274D">
        <w:rPr>
          <w:rFonts w:ascii="Times New Roman" w:hAnsi="Times New Roman" w:cs="Times New Roman"/>
        </w:rPr>
        <w:t>approved by the Council last night</w:t>
      </w:r>
      <w:r w:rsidR="006E241F" w:rsidRPr="00B86AB0">
        <w:rPr>
          <w:rFonts w:ascii="Times New Roman" w:hAnsi="Times New Roman" w:cs="Times New Roman"/>
        </w:rPr>
        <w:t>. He provided a traffic light system showing the levels of light for the Waitrose development</w:t>
      </w:r>
      <w:r w:rsidR="006E241F">
        <w:rPr>
          <w:rStyle w:val="FootnoteReference"/>
          <w:rFonts w:ascii="Times New Roman" w:hAnsi="Times New Roman" w:cs="Times New Roman"/>
        </w:rPr>
        <w:footnoteReference w:id="42"/>
      </w:r>
      <w:r w:rsidR="006E241F" w:rsidRPr="00B86AB0">
        <w:rPr>
          <w:rFonts w:ascii="Times New Roman" w:hAnsi="Times New Roman" w:cs="Times New Roman"/>
        </w:rPr>
        <w:t>, and his calculations were not challenged in cross examination. It is eviden</w:t>
      </w:r>
      <w:r w:rsidR="008F781D">
        <w:rPr>
          <w:rFonts w:ascii="Times New Roman" w:hAnsi="Times New Roman" w:cs="Times New Roman"/>
        </w:rPr>
        <w:t>t</w:t>
      </w:r>
      <w:r w:rsidR="006E241F" w:rsidRPr="00B86AB0">
        <w:rPr>
          <w:rFonts w:ascii="Times New Roman" w:hAnsi="Times New Roman" w:cs="Times New Roman"/>
        </w:rPr>
        <w:t xml:space="preserve"> from that analysis that there are numerous distinctions and differences between the sites. On </w:t>
      </w:r>
      <w:r w:rsidR="00573769">
        <w:rPr>
          <w:rFonts w:ascii="Times New Roman" w:hAnsi="Times New Roman" w:cs="Times New Roman"/>
        </w:rPr>
        <w:t>hi</w:t>
      </w:r>
      <w:r w:rsidR="006E241F" w:rsidRPr="00B86AB0">
        <w:rPr>
          <w:rFonts w:ascii="Times New Roman" w:hAnsi="Times New Roman" w:cs="Times New Roman"/>
        </w:rPr>
        <w:t xml:space="preserve">s measurements, there was a much more significant impact </w:t>
      </w:r>
      <w:r w:rsidR="00233B92">
        <w:rPr>
          <w:rFonts w:ascii="Times New Roman" w:hAnsi="Times New Roman" w:cs="Times New Roman"/>
        </w:rPr>
        <w:t xml:space="preserve">on neighbouring proposal </w:t>
      </w:r>
      <w:r w:rsidR="006E241F" w:rsidRPr="00B86AB0">
        <w:rPr>
          <w:rFonts w:ascii="Times New Roman" w:hAnsi="Times New Roman" w:cs="Times New Roman"/>
        </w:rPr>
        <w:t xml:space="preserve">for </w:t>
      </w:r>
      <w:r w:rsidR="00233B92">
        <w:rPr>
          <w:rFonts w:ascii="Times New Roman" w:hAnsi="Times New Roman" w:cs="Times New Roman"/>
        </w:rPr>
        <w:t xml:space="preserve">the appeal scheme </w:t>
      </w:r>
      <w:r w:rsidR="006E241F" w:rsidRPr="00B86AB0">
        <w:rPr>
          <w:rFonts w:ascii="Times New Roman" w:hAnsi="Times New Roman" w:cs="Times New Roman"/>
        </w:rPr>
        <w:t xml:space="preserve">than for the Waitrose proposal. </w:t>
      </w:r>
      <w:r w:rsidR="00E37329" w:rsidRPr="00B86AB0">
        <w:rPr>
          <w:rFonts w:ascii="Times New Roman" w:hAnsi="Times New Roman" w:cs="Times New Roman"/>
        </w:rPr>
        <w:t xml:space="preserve">He made it clear there was a significant, quite different, impact on </w:t>
      </w:r>
      <w:r w:rsidR="006E241F" w:rsidRPr="00B86AB0">
        <w:rPr>
          <w:rFonts w:ascii="Times New Roman" w:hAnsi="Times New Roman" w:cs="Times New Roman"/>
        </w:rPr>
        <w:t>Perigon Heights</w:t>
      </w:r>
      <w:r w:rsidR="00E37329">
        <w:rPr>
          <w:rFonts w:ascii="Times New Roman" w:hAnsi="Times New Roman" w:cs="Times New Roman"/>
        </w:rPr>
        <w:t>,</w:t>
      </w:r>
      <w:r w:rsidR="00464223">
        <w:rPr>
          <w:rFonts w:ascii="Times New Roman" w:hAnsi="Times New Roman" w:cs="Times New Roman"/>
        </w:rPr>
        <w:t xml:space="preserve"> the most impacted neighbouring property for </w:t>
      </w:r>
      <w:r w:rsidR="006E241F" w:rsidRPr="00B86AB0">
        <w:rPr>
          <w:rFonts w:ascii="Times New Roman" w:hAnsi="Times New Roman" w:cs="Times New Roman"/>
        </w:rPr>
        <w:t>the Waitrose scheme, by comparison to properties</w:t>
      </w:r>
      <w:r w:rsidR="00464223">
        <w:rPr>
          <w:rFonts w:ascii="Times New Roman" w:hAnsi="Times New Roman" w:cs="Times New Roman"/>
        </w:rPr>
        <w:t xml:space="preserve"> </w:t>
      </w:r>
      <w:r w:rsidR="00464223">
        <w:rPr>
          <w:rFonts w:ascii="Times New Roman" w:hAnsi="Times New Roman" w:cs="Times New Roman"/>
        </w:rPr>
        <w:lastRenderedPageBreak/>
        <w:t>he</w:t>
      </w:r>
      <w:r w:rsidR="006E241F" w:rsidRPr="00B86AB0">
        <w:rPr>
          <w:rFonts w:ascii="Times New Roman" w:hAnsi="Times New Roman" w:cs="Times New Roman"/>
        </w:rPr>
        <w:t xml:space="preserve"> identified </w:t>
      </w:r>
      <w:r w:rsidR="00464223">
        <w:rPr>
          <w:rFonts w:ascii="Times New Roman" w:hAnsi="Times New Roman" w:cs="Times New Roman"/>
        </w:rPr>
        <w:t>as impacted by</w:t>
      </w:r>
      <w:r w:rsidR="006E241F" w:rsidRPr="00B86AB0">
        <w:rPr>
          <w:rFonts w:ascii="Times New Roman" w:hAnsi="Times New Roman" w:cs="Times New Roman"/>
        </w:rPr>
        <w:t xml:space="preserve"> the Ringers’ Road scheme. </w:t>
      </w:r>
      <w:r w:rsidR="00E526DB">
        <w:rPr>
          <w:rFonts w:ascii="Times New Roman" w:hAnsi="Times New Roman" w:cs="Times New Roman"/>
        </w:rPr>
        <w:t>Tomas Keating accepted in cross examination that he didn’t know the Waitrose site, and that any daylight issues had to be understood in terms of the planning balance.</w:t>
      </w:r>
    </w:p>
    <w:p w14:paraId="32856CC4" w14:textId="77777777" w:rsidR="006E241F" w:rsidRPr="00784690" w:rsidRDefault="006E241F" w:rsidP="006E241F">
      <w:pPr>
        <w:spacing w:line="360" w:lineRule="auto"/>
        <w:ind w:left="360"/>
        <w:jc w:val="both"/>
        <w:rPr>
          <w:rFonts w:ascii="Times New Roman" w:hAnsi="Times New Roman" w:cs="Times New Roman"/>
          <w:b/>
          <w:bCs/>
        </w:rPr>
      </w:pPr>
    </w:p>
    <w:p w14:paraId="63F9231D" w14:textId="355EE115" w:rsidR="00100AD4" w:rsidRPr="006E241F" w:rsidRDefault="00573769" w:rsidP="00066210">
      <w:pPr>
        <w:pStyle w:val="ListParagraph"/>
        <w:numPr>
          <w:ilvl w:val="0"/>
          <w:numId w:val="5"/>
        </w:numPr>
        <w:spacing w:line="360" w:lineRule="auto"/>
        <w:jc w:val="both"/>
        <w:rPr>
          <w:rFonts w:ascii="Times New Roman" w:hAnsi="Times New Roman" w:cs="Times New Roman"/>
          <w:b/>
          <w:bCs/>
        </w:rPr>
      </w:pPr>
      <w:r>
        <w:rPr>
          <w:rFonts w:ascii="Times New Roman" w:hAnsi="Times New Roman" w:cs="Times New Roman"/>
        </w:rPr>
        <w:t xml:space="preserve">Both parties accept that the BRE guidance should be applied with some flexibility. </w:t>
      </w:r>
      <w:r w:rsidR="006E241F" w:rsidRPr="006E241F">
        <w:rPr>
          <w:rFonts w:ascii="Times New Roman" w:hAnsi="Times New Roman" w:cs="Times New Roman"/>
        </w:rPr>
        <w:t>Essentially, t</w:t>
      </w:r>
      <w:r w:rsidR="00BA6CDA" w:rsidRPr="006E241F">
        <w:rPr>
          <w:rFonts w:ascii="Times New Roman" w:hAnsi="Times New Roman" w:cs="Times New Roman"/>
        </w:rPr>
        <w:t xml:space="preserve">he differences between </w:t>
      </w:r>
      <w:r w:rsidR="006E241F" w:rsidRPr="006E241F">
        <w:rPr>
          <w:rFonts w:ascii="Times New Roman" w:hAnsi="Times New Roman" w:cs="Times New Roman"/>
        </w:rPr>
        <w:t>the parties</w:t>
      </w:r>
      <w:r w:rsidR="00BA6CDA" w:rsidRPr="006E241F">
        <w:rPr>
          <w:rFonts w:ascii="Times New Roman" w:hAnsi="Times New Roman" w:cs="Times New Roman"/>
        </w:rPr>
        <w:t xml:space="preserve"> relate to </w:t>
      </w:r>
      <w:r w:rsidR="001B68B7" w:rsidRPr="006E241F">
        <w:rPr>
          <w:rFonts w:ascii="Times New Roman" w:hAnsi="Times New Roman" w:cs="Times New Roman"/>
        </w:rPr>
        <w:t xml:space="preserve">whether the loss of daylight is acceptable in an urban context. </w:t>
      </w:r>
      <w:r w:rsidR="00CB1E1A" w:rsidRPr="006E241F">
        <w:rPr>
          <w:rFonts w:ascii="Times New Roman" w:hAnsi="Times New Roman" w:cs="Times New Roman"/>
        </w:rPr>
        <w:t xml:space="preserve">We ask Inspector to adopt </w:t>
      </w:r>
      <w:r w:rsidR="008F781D">
        <w:rPr>
          <w:rFonts w:ascii="Times New Roman" w:hAnsi="Times New Roman" w:cs="Times New Roman"/>
        </w:rPr>
        <w:t>Dan</w:t>
      </w:r>
      <w:r w:rsidR="00CB1E1A" w:rsidRPr="006E241F">
        <w:rPr>
          <w:rFonts w:ascii="Times New Roman" w:hAnsi="Times New Roman" w:cs="Times New Roman"/>
        </w:rPr>
        <w:t xml:space="preserve"> Wade’s methodology and conclusions</w:t>
      </w:r>
      <w:r w:rsidR="006E241F" w:rsidRPr="006E241F">
        <w:rPr>
          <w:rFonts w:ascii="Times New Roman" w:hAnsi="Times New Roman" w:cs="Times New Roman"/>
        </w:rPr>
        <w:t xml:space="preserve"> regarding the </w:t>
      </w:r>
      <w:r w:rsidR="006E241F">
        <w:rPr>
          <w:rFonts w:ascii="Times New Roman" w:hAnsi="Times New Roman" w:cs="Times New Roman"/>
        </w:rPr>
        <w:t>impacts on the surrounding occupiers.</w:t>
      </w:r>
    </w:p>
    <w:p w14:paraId="40DDFAE1" w14:textId="77777777" w:rsidR="00F8567F" w:rsidRPr="00DF6EC4" w:rsidRDefault="00F8567F" w:rsidP="000609E9">
      <w:pPr>
        <w:spacing w:line="360" w:lineRule="auto"/>
        <w:jc w:val="both"/>
        <w:rPr>
          <w:rFonts w:ascii="Times New Roman" w:hAnsi="Times New Roman" w:cs="Times New Roman"/>
        </w:rPr>
      </w:pPr>
    </w:p>
    <w:p w14:paraId="2B329862" w14:textId="3AD6893F" w:rsidR="00EF6EE8" w:rsidRPr="00EF6EE8" w:rsidRDefault="00F8567F" w:rsidP="00EF6EE8">
      <w:pPr>
        <w:pStyle w:val="ListParagraph"/>
        <w:numPr>
          <w:ilvl w:val="0"/>
          <w:numId w:val="5"/>
        </w:numPr>
        <w:spacing w:line="360" w:lineRule="auto"/>
        <w:jc w:val="both"/>
        <w:rPr>
          <w:rFonts w:ascii="Times New Roman" w:hAnsi="Times New Roman" w:cs="Times New Roman"/>
        </w:rPr>
      </w:pPr>
      <w:r>
        <w:rPr>
          <w:rFonts w:ascii="Times New Roman" w:hAnsi="Times New Roman" w:cs="Times New Roman"/>
        </w:rPr>
        <w:t xml:space="preserve">Whilst </w:t>
      </w:r>
      <w:r w:rsidR="00673E57">
        <w:rPr>
          <w:rFonts w:ascii="Times New Roman" w:hAnsi="Times New Roman" w:cs="Times New Roman"/>
        </w:rPr>
        <w:t xml:space="preserve">the </w:t>
      </w:r>
      <w:r>
        <w:rPr>
          <w:rFonts w:ascii="Times New Roman" w:hAnsi="Times New Roman" w:cs="Times New Roman"/>
        </w:rPr>
        <w:t xml:space="preserve">Salvation Army is not </w:t>
      </w:r>
      <w:r w:rsidR="00B949C7">
        <w:rPr>
          <w:rFonts w:ascii="Times New Roman" w:hAnsi="Times New Roman" w:cs="Times New Roman"/>
        </w:rPr>
        <w:t xml:space="preserve">a </w:t>
      </w:r>
      <w:r>
        <w:rPr>
          <w:rFonts w:ascii="Times New Roman" w:hAnsi="Times New Roman" w:cs="Times New Roman"/>
        </w:rPr>
        <w:t>residential</w:t>
      </w:r>
      <w:r w:rsidR="00B949C7">
        <w:rPr>
          <w:rFonts w:ascii="Times New Roman" w:hAnsi="Times New Roman" w:cs="Times New Roman"/>
        </w:rPr>
        <w:t xml:space="preserve"> premises</w:t>
      </w:r>
      <w:r>
        <w:rPr>
          <w:rFonts w:ascii="Times New Roman" w:hAnsi="Times New Roman" w:cs="Times New Roman"/>
        </w:rPr>
        <w:t xml:space="preserve">, there will be </w:t>
      </w:r>
      <w:r w:rsidR="00DF1DEF">
        <w:rPr>
          <w:rFonts w:ascii="Times New Roman" w:hAnsi="Times New Roman" w:cs="Times New Roman"/>
        </w:rPr>
        <w:t xml:space="preserve">a significant impact </w:t>
      </w:r>
      <w:r>
        <w:rPr>
          <w:rFonts w:ascii="Times New Roman" w:hAnsi="Times New Roman" w:cs="Times New Roman"/>
        </w:rPr>
        <w:t xml:space="preserve">on this important community facility. </w:t>
      </w:r>
      <w:r w:rsidR="00B949C7">
        <w:rPr>
          <w:rFonts w:ascii="Times New Roman" w:hAnsi="Times New Roman" w:cs="Times New Roman"/>
        </w:rPr>
        <w:t xml:space="preserve">Alicia Begley explained to the Inquiry </w:t>
      </w:r>
      <w:r w:rsidR="00EF6EE8">
        <w:rPr>
          <w:rFonts w:ascii="Times New Roman" w:hAnsi="Times New Roman" w:cs="Times New Roman"/>
        </w:rPr>
        <w:t xml:space="preserve">the following points: </w:t>
      </w:r>
    </w:p>
    <w:p w14:paraId="3A08465E" w14:textId="77777777" w:rsidR="00EF6EE8" w:rsidRDefault="00F8567F" w:rsidP="00EF6EE8">
      <w:pPr>
        <w:pStyle w:val="ListParagraph"/>
        <w:numPr>
          <w:ilvl w:val="1"/>
          <w:numId w:val="5"/>
        </w:numPr>
        <w:spacing w:line="360" w:lineRule="auto"/>
        <w:jc w:val="both"/>
        <w:rPr>
          <w:rFonts w:ascii="Times New Roman" w:hAnsi="Times New Roman" w:cs="Times New Roman"/>
        </w:rPr>
      </w:pPr>
      <w:r>
        <w:rPr>
          <w:rFonts w:ascii="Times New Roman" w:hAnsi="Times New Roman" w:cs="Times New Roman"/>
        </w:rPr>
        <w:t>400 people</w:t>
      </w:r>
      <w:r w:rsidR="00B949C7">
        <w:rPr>
          <w:rFonts w:ascii="Times New Roman" w:hAnsi="Times New Roman" w:cs="Times New Roman"/>
        </w:rPr>
        <w:t xml:space="preserve"> pass through their doors</w:t>
      </w:r>
      <w:r>
        <w:rPr>
          <w:rFonts w:ascii="Times New Roman" w:hAnsi="Times New Roman" w:cs="Times New Roman"/>
        </w:rPr>
        <w:t xml:space="preserve"> per day</w:t>
      </w:r>
      <w:r w:rsidR="00B949C7">
        <w:rPr>
          <w:rFonts w:ascii="Times New Roman" w:hAnsi="Times New Roman" w:cs="Times New Roman"/>
        </w:rPr>
        <w:t xml:space="preserve">, and it is </w:t>
      </w:r>
      <w:r w:rsidR="00DF1DEF">
        <w:rPr>
          <w:rFonts w:ascii="Times New Roman" w:hAnsi="Times New Roman" w:cs="Times New Roman"/>
        </w:rPr>
        <w:t>in use 7 days a week</w:t>
      </w:r>
      <w:r>
        <w:rPr>
          <w:rStyle w:val="FootnoteReference"/>
          <w:rFonts w:ascii="Times New Roman" w:hAnsi="Times New Roman" w:cs="Times New Roman"/>
        </w:rPr>
        <w:footnoteReference w:id="43"/>
      </w:r>
      <w:r w:rsidR="00EF6EE8">
        <w:rPr>
          <w:rFonts w:ascii="Times New Roman" w:hAnsi="Times New Roman" w:cs="Times New Roman"/>
        </w:rPr>
        <w:t>;</w:t>
      </w:r>
    </w:p>
    <w:p w14:paraId="12A7833C" w14:textId="77777777" w:rsidR="00EF6EE8" w:rsidRDefault="00EF6EE8" w:rsidP="00EF6EE8">
      <w:pPr>
        <w:pStyle w:val="ListParagraph"/>
        <w:numPr>
          <w:ilvl w:val="1"/>
          <w:numId w:val="5"/>
        </w:numPr>
        <w:spacing w:line="360" w:lineRule="auto"/>
        <w:jc w:val="both"/>
        <w:rPr>
          <w:rFonts w:ascii="Times New Roman" w:hAnsi="Times New Roman" w:cs="Times New Roman"/>
        </w:rPr>
      </w:pPr>
      <w:r>
        <w:rPr>
          <w:rFonts w:ascii="Times New Roman" w:hAnsi="Times New Roman" w:cs="Times New Roman"/>
        </w:rPr>
        <w:t xml:space="preserve">There is a clear intensity </w:t>
      </w:r>
      <w:r w:rsidR="00320683">
        <w:rPr>
          <w:rFonts w:ascii="Times New Roman" w:hAnsi="Times New Roman" w:cs="Times New Roman"/>
        </w:rPr>
        <w:t xml:space="preserve">of </w:t>
      </w:r>
      <w:r>
        <w:rPr>
          <w:rFonts w:ascii="Times New Roman" w:hAnsi="Times New Roman" w:cs="Times New Roman"/>
        </w:rPr>
        <w:t xml:space="preserve">use of </w:t>
      </w:r>
      <w:r w:rsidR="00320683">
        <w:rPr>
          <w:rFonts w:ascii="Times New Roman" w:hAnsi="Times New Roman" w:cs="Times New Roman"/>
        </w:rPr>
        <w:t>the building</w:t>
      </w:r>
      <w:r w:rsidR="00DF1DEF" w:rsidRPr="00DF1DEF">
        <w:rPr>
          <w:rFonts w:ascii="Times New Roman" w:hAnsi="Times New Roman" w:cs="Times New Roman"/>
        </w:rPr>
        <w:t xml:space="preserve"> for </w:t>
      </w:r>
      <w:r w:rsidR="00320683">
        <w:rPr>
          <w:rFonts w:ascii="Times New Roman" w:hAnsi="Times New Roman" w:cs="Times New Roman"/>
        </w:rPr>
        <w:t>vulnerable people in Bromley, and</w:t>
      </w:r>
      <w:r w:rsidR="00DF1DEF" w:rsidRPr="00DF1DEF">
        <w:rPr>
          <w:rFonts w:ascii="Times New Roman" w:hAnsi="Times New Roman" w:cs="Times New Roman"/>
        </w:rPr>
        <w:t xml:space="preserve"> it</w:t>
      </w:r>
      <w:r>
        <w:rPr>
          <w:rFonts w:ascii="Times New Roman" w:hAnsi="Times New Roman" w:cs="Times New Roman"/>
        </w:rPr>
        <w:t xml:space="preserve"> is</w:t>
      </w:r>
      <w:r w:rsidR="00DF1DEF" w:rsidRPr="00DF1DEF">
        <w:rPr>
          <w:rFonts w:ascii="Times New Roman" w:hAnsi="Times New Roman" w:cs="Times New Roman"/>
        </w:rPr>
        <w:t xml:space="preserve"> importan</w:t>
      </w:r>
      <w:r>
        <w:rPr>
          <w:rFonts w:ascii="Times New Roman" w:hAnsi="Times New Roman" w:cs="Times New Roman"/>
        </w:rPr>
        <w:t>t</w:t>
      </w:r>
      <w:r w:rsidR="00DF1DEF" w:rsidRPr="00DF1DEF">
        <w:rPr>
          <w:rFonts w:ascii="Times New Roman" w:hAnsi="Times New Roman" w:cs="Times New Roman"/>
        </w:rPr>
        <w:t xml:space="preserve"> as a local facility</w:t>
      </w:r>
      <w:r>
        <w:rPr>
          <w:rFonts w:ascii="Times New Roman" w:hAnsi="Times New Roman" w:cs="Times New Roman"/>
        </w:rPr>
        <w:t>;</w:t>
      </w:r>
    </w:p>
    <w:p w14:paraId="45418896" w14:textId="77777777" w:rsidR="00EF6EE8" w:rsidRDefault="00EF6EE8" w:rsidP="00EF6EE8">
      <w:pPr>
        <w:pStyle w:val="ListParagraph"/>
        <w:numPr>
          <w:ilvl w:val="1"/>
          <w:numId w:val="5"/>
        </w:numPr>
        <w:spacing w:line="360" w:lineRule="auto"/>
        <w:jc w:val="both"/>
        <w:rPr>
          <w:rFonts w:ascii="Times New Roman" w:hAnsi="Times New Roman" w:cs="Times New Roman"/>
        </w:rPr>
      </w:pPr>
      <w:r>
        <w:rPr>
          <w:rFonts w:ascii="Times New Roman" w:hAnsi="Times New Roman" w:cs="Times New Roman"/>
        </w:rPr>
        <w:t>The appeal scheme would result in t</w:t>
      </w:r>
      <w:r w:rsidR="00320683">
        <w:rPr>
          <w:rFonts w:ascii="Times New Roman" w:hAnsi="Times New Roman" w:cs="Times New Roman"/>
        </w:rPr>
        <w:t>he loss of light</w:t>
      </w:r>
      <w:r w:rsidR="00DF6EC4">
        <w:rPr>
          <w:rFonts w:ascii="Times New Roman" w:hAnsi="Times New Roman" w:cs="Times New Roman"/>
        </w:rPr>
        <w:t xml:space="preserve"> to the upstairs facilities (a children’s room and a bathroom for homeless persons) and the downstairs rooms, including the two halls and the kitchen area</w:t>
      </w:r>
      <w:r>
        <w:rPr>
          <w:rFonts w:ascii="Times New Roman" w:hAnsi="Times New Roman" w:cs="Times New Roman"/>
        </w:rPr>
        <w:t>,</w:t>
      </w:r>
    </w:p>
    <w:p w14:paraId="11D2E2C8" w14:textId="16CF493E" w:rsidR="00EF6EE8" w:rsidRDefault="00EF6EE8" w:rsidP="00EF6EE8">
      <w:pPr>
        <w:pStyle w:val="ListParagraph"/>
        <w:numPr>
          <w:ilvl w:val="1"/>
          <w:numId w:val="5"/>
        </w:numPr>
        <w:spacing w:line="360" w:lineRule="auto"/>
        <w:jc w:val="both"/>
        <w:rPr>
          <w:rFonts w:ascii="Times New Roman" w:hAnsi="Times New Roman" w:cs="Times New Roman"/>
        </w:rPr>
      </w:pPr>
      <w:r>
        <w:rPr>
          <w:rFonts w:ascii="Times New Roman" w:hAnsi="Times New Roman" w:cs="Times New Roman"/>
        </w:rPr>
        <w:t>There was a lack of consultation by the Appellants. In paragraph 3 of her letter submitted to the Inquiry on Day 1 (dated 15 July 2024), she states: “</w:t>
      </w:r>
      <w:r w:rsidRPr="00EF6EE8">
        <w:rPr>
          <w:rFonts w:ascii="Times New Roman" w:hAnsi="Times New Roman" w:cs="Times New Roman"/>
          <w:b/>
          <w:bCs/>
          <w:i/>
          <w:iCs/>
        </w:rPr>
        <w:t>Lack of consultation</w:t>
      </w:r>
      <w:r w:rsidRPr="00EF6EE8">
        <w:rPr>
          <w:rFonts w:ascii="Times New Roman" w:hAnsi="Times New Roman" w:cs="Times New Roman"/>
          <w:i/>
          <w:iCs/>
        </w:rPr>
        <w:t xml:space="preserve"> – the developers have had little to no contact with the Salvation Army, especially locally. However, they did turn up unannounced on Friday 12 July in a last-minute attempt to “develop the relationship”.</w:t>
      </w:r>
      <w:r>
        <w:rPr>
          <w:rFonts w:ascii="Times New Roman" w:hAnsi="Times New Roman" w:cs="Times New Roman"/>
        </w:rPr>
        <w:t xml:space="preserve">” </w:t>
      </w:r>
    </w:p>
    <w:p w14:paraId="6A344E52" w14:textId="77777777" w:rsidR="00EF6EE8" w:rsidRDefault="00EF6EE8" w:rsidP="00EF6EE8">
      <w:pPr>
        <w:spacing w:line="360" w:lineRule="auto"/>
        <w:jc w:val="both"/>
        <w:rPr>
          <w:rFonts w:ascii="Times New Roman" w:hAnsi="Times New Roman" w:cs="Times New Roman"/>
        </w:rPr>
      </w:pPr>
    </w:p>
    <w:p w14:paraId="7A7655A2" w14:textId="7A31459C" w:rsidR="00CB13C0" w:rsidRPr="00EF6EE8" w:rsidRDefault="00F07277" w:rsidP="00EF6EE8">
      <w:pPr>
        <w:pStyle w:val="ListParagraph"/>
        <w:numPr>
          <w:ilvl w:val="0"/>
          <w:numId w:val="5"/>
        </w:numPr>
        <w:spacing w:line="360" w:lineRule="auto"/>
        <w:jc w:val="both"/>
        <w:rPr>
          <w:rFonts w:ascii="Times New Roman" w:hAnsi="Times New Roman" w:cs="Times New Roman"/>
        </w:rPr>
      </w:pPr>
      <w:r w:rsidRPr="00EF6EE8">
        <w:rPr>
          <w:rFonts w:ascii="Times New Roman" w:hAnsi="Times New Roman" w:cs="Times New Roman"/>
        </w:rPr>
        <w:t>Karen</w:t>
      </w:r>
      <w:r w:rsidR="003517E9" w:rsidRPr="00EF6EE8">
        <w:rPr>
          <w:rFonts w:ascii="Times New Roman" w:hAnsi="Times New Roman" w:cs="Times New Roman"/>
        </w:rPr>
        <w:t xml:space="preserve"> Daye gave evidence to say the light for the Salvation Army building would be “</w:t>
      </w:r>
      <w:r w:rsidR="003517E9" w:rsidRPr="00C47D9E">
        <w:rPr>
          <w:rFonts w:ascii="Times New Roman" w:hAnsi="Times New Roman" w:cs="Times New Roman"/>
          <w:i/>
          <w:iCs/>
        </w:rPr>
        <w:t>seriously compromised</w:t>
      </w:r>
      <w:r w:rsidR="003517E9" w:rsidRPr="00EF6EE8">
        <w:rPr>
          <w:rFonts w:ascii="Times New Roman" w:hAnsi="Times New Roman" w:cs="Times New Roman"/>
        </w:rPr>
        <w:t xml:space="preserve">”. </w:t>
      </w:r>
      <w:r w:rsidR="00852404" w:rsidRPr="00EF6EE8">
        <w:rPr>
          <w:rFonts w:ascii="Times New Roman" w:hAnsi="Times New Roman" w:cs="Times New Roman"/>
        </w:rPr>
        <w:t xml:space="preserve">During the </w:t>
      </w:r>
      <w:r w:rsidR="00317163" w:rsidRPr="00EF6EE8">
        <w:rPr>
          <w:rFonts w:ascii="Times New Roman" w:hAnsi="Times New Roman" w:cs="Times New Roman"/>
        </w:rPr>
        <w:t>R</w:t>
      </w:r>
      <w:r w:rsidR="00852404" w:rsidRPr="00EF6EE8">
        <w:rPr>
          <w:rFonts w:ascii="Times New Roman" w:hAnsi="Times New Roman" w:cs="Times New Roman"/>
        </w:rPr>
        <w:t>oundtable</w:t>
      </w:r>
      <w:r w:rsidR="00F02BF7" w:rsidRPr="00EF6EE8">
        <w:rPr>
          <w:rFonts w:ascii="Times New Roman" w:hAnsi="Times New Roman" w:cs="Times New Roman"/>
        </w:rPr>
        <w:t>, Alex Richards</w:t>
      </w:r>
      <w:r w:rsidR="00852404" w:rsidRPr="00EF6EE8">
        <w:rPr>
          <w:rFonts w:ascii="Times New Roman" w:hAnsi="Times New Roman" w:cs="Times New Roman"/>
        </w:rPr>
        <w:t xml:space="preserve"> </w:t>
      </w:r>
      <w:r w:rsidR="00E37329" w:rsidRPr="00EF6EE8">
        <w:rPr>
          <w:rFonts w:ascii="Times New Roman" w:hAnsi="Times New Roman" w:cs="Times New Roman"/>
        </w:rPr>
        <w:t>indicated</w:t>
      </w:r>
      <w:r w:rsidR="00852404" w:rsidRPr="00EF6EE8">
        <w:rPr>
          <w:rFonts w:ascii="Times New Roman" w:hAnsi="Times New Roman" w:cs="Times New Roman"/>
        </w:rPr>
        <w:t xml:space="preserve"> that the Ap</w:t>
      </w:r>
      <w:r w:rsidR="00904EA9" w:rsidRPr="00EF6EE8">
        <w:rPr>
          <w:rFonts w:ascii="Times New Roman" w:hAnsi="Times New Roman" w:cs="Times New Roman"/>
        </w:rPr>
        <w:t xml:space="preserve">pellants had offered the Salvation Army a different location if they sold and moved, but </w:t>
      </w:r>
      <w:r w:rsidR="00A210FF" w:rsidRPr="00EF6EE8">
        <w:rPr>
          <w:rFonts w:ascii="Times New Roman" w:hAnsi="Times New Roman" w:cs="Times New Roman"/>
        </w:rPr>
        <w:t>there is no clear evidence of any negotiations before the inquiry, and the</w:t>
      </w:r>
      <w:r w:rsidR="00317163" w:rsidRPr="00EF6EE8">
        <w:rPr>
          <w:rFonts w:ascii="Times New Roman" w:hAnsi="Times New Roman" w:cs="Times New Roman"/>
        </w:rPr>
        <w:t xml:space="preserve"> opportunity to put this point to </w:t>
      </w:r>
      <w:r w:rsidRPr="00EF6EE8">
        <w:rPr>
          <w:rFonts w:ascii="Times New Roman" w:hAnsi="Times New Roman" w:cs="Times New Roman"/>
        </w:rPr>
        <w:t>Alicia</w:t>
      </w:r>
      <w:r w:rsidR="00317163" w:rsidRPr="00EF6EE8">
        <w:rPr>
          <w:rFonts w:ascii="Times New Roman" w:hAnsi="Times New Roman" w:cs="Times New Roman"/>
        </w:rPr>
        <w:t xml:space="preserve"> Begley was not taken and therefore the Inspector should give no weight to it</w:t>
      </w:r>
      <w:r w:rsidR="00F4342F" w:rsidRPr="00EF6EE8">
        <w:rPr>
          <w:rFonts w:ascii="Times New Roman" w:hAnsi="Times New Roman" w:cs="Times New Roman"/>
        </w:rPr>
        <w:t>.</w:t>
      </w:r>
      <w:r w:rsidR="00CB13C0" w:rsidRPr="00EF6EE8">
        <w:rPr>
          <w:rFonts w:ascii="Times New Roman" w:hAnsi="Times New Roman" w:cs="Times New Roman"/>
        </w:rPr>
        <w:t xml:space="preserve"> </w:t>
      </w:r>
    </w:p>
    <w:p w14:paraId="6EB953A9" w14:textId="77777777" w:rsidR="00CB13C0" w:rsidRDefault="00CB13C0" w:rsidP="000609E9">
      <w:pPr>
        <w:spacing w:line="360" w:lineRule="auto"/>
        <w:jc w:val="both"/>
        <w:rPr>
          <w:rFonts w:ascii="Times New Roman" w:hAnsi="Times New Roman" w:cs="Times New Roman"/>
        </w:rPr>
      </w:pPr>
    </w:p>
    <w:p w14:paraId="02470BED" w14:textId="77777777" w:rsidR="00B46DC8" w:rsidRDefault="00B46DC8" w:rsidP="000609E9">
      <w:pPr>
        <w:spacing w:line="360" w:lineRule="auto"/>
        <w:jc w:val="both"/>
        <w:rPr>
          <w:rFonts w:ascii="Times New Roman" w:hAnsi="Times New Roman" w:cs="Times New Roman"/>
        </w:rPr>
      </w:pPr>
    </w:p>
    <w:p w14:paraId="12BAD97B" w14:textId="77777777" w:rsidR="00B46DC8" w:rsidRPr="00700886" w:rsidRDefault="00B46DC8" w:rsidP="000609E9">
      <w:pPr>
        <w:spacing w:line="360" w:lineRule="auto"/>
        <w:jc w:val="both"/>
        <w:rPr>
          <w:rFonts w:ascii="Times New Roman" w:hAnsi="Times New Roman" w:cs="Times New Roman"/>
        </w:rPr>
      </w:pPr>
    </w:p>
    <w:p w14:paraId="7570C738" w14:textId="2200116F" w:rsidR="005512B9" w:rsidRPr="003B15B9" w:rsidRDefault="003B15B9" w:rsidP="000609E9">
      <w:pPr>
        <w:spacing w:line="360" w:lineRule="auto"/>
        <w:jc w:val="both"/>
        <w:rPr>
          <w:rFonts w:ascii="Times New Roman" w:hAnsi="Times New Roman" w:cs="Times New Roman"/>
          <w:u w:val="single"/>
        </w:rPr>
      </w:pPr>
      <w:r w:rsidRPr="003B15B9">
        <w:rPr>
          <w:rFonts w:ascii="Times New Roman" w:hAnsi="Times New Roman" w:cs="Times New Roman"/>
          <w:u w:val="single"/>
        </w:rPr>
        <w:t>Visual impact</w:t>
      </w:r>
    </w:p>
    <w:p w14:paraId="162EBF03" w14:textId="77777777" w:rsidR="0000228B" w:rsidRPr="00F27D6D" w:rsidRDefault="0000228B" w:rsidP="000609E9">
      <w:pPr>
        <w:spacing w:line="360" w:lineRule="auto"/>
        <w:jc w:val="both"/>
        <w:rPr>
          <w:rFonts w:ascii="Times New Roman" w:hAnsi="Times New Roman" w:cs="Times New Roman"/>
        </w:rPr>
      </w:pPr>
    </w:p>
    <w:p w14:paraId="08BF37F0" w14:textId="24F65F0F" w:rsidR="00DF1DEF" w:rsidRPr="00D85B40" w:rsidRDefault="005512B9" w:rsidP="00D85B40">
      <w:pPr>
        <w:pStyle w:val="ListParagraph"/>
        <w:numPr>
          <w:ilvl w:val="0"/>
          <w:numId w:val="5"/>
        </w:numPr>
        <w:spacing w:line="360" w:lineRule="auto"/>
        <w:jc w:val="both"/>
        <w:rPr>
          <w:rFonts w:ascii="Times New Roman" w:hAnsi="Times New Roman" w:cs="Times New Roman"/>
        </w:rPr>
      </w:pPr>
      <w:r>
        <w:rPr>
          <w:rFonts w:ascii="Times New Roman" w:hAnsi="Times New Roman" w:cs="Times New Roman"/>
        </w:rPr>
        <w:t>The</w:t>
      </w:r>
      <w:r w:rsidR="00CC1152">
        <w:rPr>
          <w:rFonts w:ascii="Times New Roman" w:hAnsi="Times New Roman" w:cs="Times New Roman"/>
        </w:rPr>
        <w:t>re is a negative visual impact on surrounding occupiers because of the size and the scale of the proposed development.</w:t>
      </w:r>
      <w:r>
        <w:rPr>
          <w:rFonts w:ascii="Times New Roman" w:hAnsi="Times New Roman" w:cs="Times New Roman"/>
        </w:rPr>
        <w:t xml:space="preserve"> </w:t>
      </w:r>
      <w:r w:rsidR="00CC1152">
        <w:rPr>
          <w:rFonts w:ascii="Times New Roman" w:hAnsi="Times New Roman" w:cs="Times New Roman"/>
        </w:rPr>
        <w:t xml:space="preserve">Karen Daye in her evidence </w:t>
      </w:r>
      <w:r w:rsidR="0061367A">
        <w:rPr>
          <w:rFonts w:ascii="Times New Roman" w:hAnsi="Times New Roman" w:cs="Times New Roman"/>
        </w:rPr>
        <w:t>explained</w:t>
      </w:r>
      <w:r w:rsidR="00D85B40">
        <w:rPr>
          <w:rStyle w:val="FootnoteReference"/>
          <w:rFonts w:ascii="Times New Roman" w:hAnsi="Times New Roman" w:cs="Times New Roman"/>
        </w:rPr>
        <w:footnoteReference w:id="44"/>
      </w:r>
      <w:r w:rsidR="0061367A">
        <w:rPr>
          <w:rFonts w:ascii="Times New Roman" w:hAnsi="Times New Roman" w:cs="Times New Roman"/>
        </w:rPr>
        <w:t xml:space="preserve"> there was a “looming presence” which impacted particularly </w:t>
      </w:r>
      <w:r w:rsidR="00D85B40">
        <w:rPr>
          <w:rFonts w:ascii="Times New Roman" w:hAnsi="Times New Roman" w:cs="Times New Roman"/>
        </w:rPr>
        <w:t xml:space="preserve">the Salvation Army, Ethelbert Close, Ethelbert Court, and Simpsons Place. While the Appellants have submitted photographs of rely on </w:t>
      </w:r>
      <w:r w:rsidR="0061367A" w:rsidRPr="00D85B40">
        <w:rPr>
          <w:rFonts w:ascii="Times New Roman" w:hAnsi="Times New Roman" w:cs="Times New Roman"/>
        </w:rPr>
        <w:t>trees and vegetation to screen</w:t>
      </w:r>
      <w:r w:rsidR="00D85B40">
        <w:rPr>
          <w:rFonts w:ascii="Times New Roman" w:hAnsi="Times New Roman" w:cs="Times New Roman"/>
        </w:rPr>
        <w:t xml:space="preserve"> the resident of 7 Ethelbert Road from the building, that should be given very little weight because that vegetation is beyond the Appellant’s control. Karen Daye further explained in her proof that t</w:t>
      </w:r>
      <w:r w:rsidR="00C72B3A" w:rsidRPr="00D85B40">
        <w:rPr>
          <w:rFonts w:ascii="Times New Roman" w:hAnsi="Times New Roman" w:cs="Times New Roman"/>
        </w:rPr>
        <w:t>he low rise context would “</w:t>
      </w:r>
      <w:r w:rsidR="00C72B3A" w:rsidRPr="00D85B40">
        <w:rPr>
          <w:rFonts w:ascii="Times New Roman" w:hAnsi="Times New Roman" w:cs="Times New Roman"/>
          <w:i/>
          <w:iCs/>
        </w:rPr>
        <w:t>exacerbate the overbearing visual impact of Block B with windows and balconies visible above the extent of tree canopy which would also impact on privacy and the perception thereof</w:t>
      </w:r>
      <w:r w:rsidR="00C72B3A" w:rsidRPr="00D85B40">
        <w:rPr>
          <w:rFonts w:ascii="Times New Roman" w:hAnsi="Times New Roman" w:cs="Times New Roman"/>
        </w:rPr>
        <w:t>”</w:t>
      </w:r>
      <w:r w:rsidR="00D85B40">
        <w:rPr>
          <w:rFonts w:ascii="Times New Roman" w:hAnsi="Times New Roman" w:cs="Times New Roman"/>
        </w:rPr>
        <w:t>.</w:t>
      </w:r>
      <w:r w:rsidR="00D85B40">
        <w:rPr>
          <w:rStyle w:val="FootnoteReference"/>
          <w:rFonts w:ascii="Times New Roman" w:hAnsi="Times New Roman" w:cs="Times New Roman"/>
        </w:rPr>
        <w:footnoteReference w:id="45"/>
      </w:r>
    </w:p>
    <w:p w14:paraId="56C69976" w14:textId="77777777" w:rsidR="00C72B3A" w:rsidRDefault="00C72B3A" w:rsidP="000609E9">
      <w:pPr>
        <w:spacing w:line="360" w:lineRule="auto"/>
        <w:jc w:val="both"/>
        <w:rPr>
          <w:rFonts w:ascii="Times New Roman" w:hAnsi="Times New Roman" w:cs="Times New Roman"/>
        </w:rPr>
      </w:pPr>
    </w:p>
    <w:p w14:paraId="68AC9DDC" w14:textId="77C26AB0" w:rsidR="00DF2D97" w:rsidRPr="00DF2D97" w:rsidRDefault="00DF2D97" w:rsidP="000609E9">
      <w:pPr>
        <w:spacing w:line="360" w:lineRule="auto"/>
        <w:jc w:val="both"/>
        <w:rPr>
          <w:rFonts w:ascii="Times New Roman" w:hAnsi="Times New Roman" w:cs="Times New Roman"/>
          <w:u w:val="single"/>
        </w:rPr>
      </w:pPr>
      <w:r>
        <w:rPr>
          <w:rFonts w:ascii="Times New Roman" w:hAnsi="Times New Roman" w:cs="Times New Roman"/>
          <w:u w:val="single"/>
        </w:rPr>
        <w:t>Privacy and Overlooking</w:t>
      </w:r>
    </w:p>
    <w:p w14:paraId="0EC5E8A8" w14:textId="77777777" w:rsidR="00DF2D97" w:rsidRPr="00DF1DEF" w:rsidRDefault="00DF2D97" w:rsidP="000609E9">
      <w:pPr>
        <w:spacing w:line="360" w:lineRule="auto"/>
        <w:jc w:val="both"/>
        <w:rPr>
          <w:rFonts w:ascii="Times New Roman" w:hAnsi="Times New Roman" w:cs="Times New Roman"/>
        </w:rPr>
      </w:pPr>
    </w:p>
    <w:p w14:paraId="3DED02A9" w14:textId="77777777" w:rsidR="00CB79B8" w:rsidRDefault="00DF2D97" w:rsidP="00066210">
      <w:pPr>
        <w:pStyle w:val="ListParagraph"/>
        <w:numPr>
          <w:ilvl w:val="0"/>
          <w:numId w:val="5"/>
        </w:numPr>
        <w:spacing w:line="360" w:lineRule="auto"/>
        <w:jc w:val="both"/>
        <w:rPr>
          <w:rFonts w:ascii="Times New Roman" w:hAnsi="Times New Roman" w:cs="Times New Roman"/>
        </w:rPr>
      </w:pPr>
      <w:r>
        <w:rPr>
          <w:rFonts w:ascii="Times New Roman" w:hAnsi="Times New Roman" w:cs="Times New Roman"/>
        </w:rPr>
        <w:t>Karen Daye said during her evidence in chief that</w:t>
      </w:r>
      <w:r w:rsidR="0096770E">
        <w:rPr>
          <w:rFonts w:ascii="Times New Roman" w:hAnsi="Times New Roman" w:cs="Times New Roman"/>
        </w:rPr>
        <w:t xml:space="preserve"> a core concern was that several neighbouring properties would be “</w:t>
      </w:r>
      <w:r w:rsidR="0096770E" w:rsidRPr="0096770E">
        <w:rPr>
          <w:rFonts w:ascii="Times New Roman" w:hAnsi="Times New Roman" w:cs="Times New Roman"/>
          <w:i/>
          <w:iCs/>
        </w:rPr>
        <w:t>very significantly affected</w:t>
      </w:r>
      <w:r w:rsidR="0096770E">
        <w:rPr>
          <w:rFonts w:ascii="Times New Roman" w:hAnsi="Times New Roman" w:cs="Times New Roman"/>
        </w:rPr>
        <w:t>” by the development. She explained that</w:t>
      </w:r>
      <w:r>
        <w:rPr>
          <w:rFonts w:ascii="Times New Roman" w:hAnsi="Times New Roman" w:cs="Times New Roman"/>
        </w:rPr>
        <w:t xml:space="preserve"> </w:t>
      </w:r>
      <w:r w:rsidR="00707F5C">
        <w:rPr>
          <w:rFonts w:ascii="Times New Roman" w:hAnsi="Times New Roman" w:cs="Times New Roman"/>
        </w:rPr>
        <w:t>during the site visit it was “</w:t>
      </w:r>
      <w:r w:rsidR="00707F5C">
        <w:rPr>
          <w:rFonts w:ascii="Times New Roman" w:hAnsi="Times New Roman" w:cs="Times New Roman"/>
          <w:i/>
          <w:iCs/>
        </w:rPr>
        <w:t xml:space="preserve">evident and </w:t>
      </w:r>
      <w:r w:rsidR="00707F5C" w:rsidRPr="00707F5C">
        <w:rPr>
          <w:rFonts w:ascii="Times New Roman" w:hAnsi="Times New Roman" w:cs="Times New Roman"/>
          <w:i/>
          <w:iCs/>
        </w:rPr>
        <w:t>st</w:t>
      </w:r>
      <w:r w:rsidR="00707F5C">
        <w:rPr>
          <w:rFonts w:ascii="Times New Roman" w:hAnsi="Times New Roman" w:cs="Times New Roman"/>
          <w:i/>
          <w:iCs/>
        </w:rPr>
        <w:t>r</w:t>
      </w:r>
      <w:r w:rsidR="00707F5C" w:rsidRPr="00707F5C">
        <w:rPr>
          <w:rFonts w:ascii="Times New Roman" w:hAnsi="Times New Roman" w:cs="Times New Roman"/>
          <w:i/>
          <w:iCs/>
        </w:rPr>
        <w:t>iking</w:t>
      </w:r>
      <w:r w:rsidR="00707F5C">
        <w:rPr>
          <w:rFonts w:ascii="Times New Roman" w:hAnsi="Times New Roman" w:cs="Times New Roman"/>
        </w:rPr>
        <w:t xml:space="preserve">” how close the blocks would be to the neighbours, and that </w:t>
      </w:r>
      <w:r w:rsidRPr="00707F5C">
        <w:rPr>
          <w:rFonts w:ascii="Times New Roman" w:hAnsi="Times New Roman" w:cs="Times New Roman"/>
        </w:rPr>
        <w:t>a</w:t>
      </w:r>
      <w:r>
        <w:rPr>
          <w:rFonts w:ascii="Times New Roman" w:hAnsi="Times New Roman" w:cs="Times New Roman"/>
        </w:rPr>
        <w:t xml:space="preserve"> key issue was both “</w:t>
      </w:r>
      <w:r w:rsidRPr="00442C67">
        <w:rPr>
          <w:rFonts w:ascii="Times New Roman" w:hAnsi="Times New Roman" w:cs="Times New Roman"/>
          <w:i/>
          <w:iCs/>
        </w:rPr>
        <w:t>direct overlooking and the perception of being overlooked</w:t>
      </w:r>
      <w:r>
        <w:rPr>
          <w:rFonts w:ascii="Times New Roman" w:hAnsi="Times New Roman" w:cs="Times New Roman"/>
        </w:rPr>
        <w:t>”.</w:t>
      </w:r>
      <w:r w:rsidR="00707F5C">
        <w:rPr>
          <w:rFonts w:ascii="Times New Roman" w:hAnsi="Times New Roman" w:cs="Times New Roman"/>
        </w:rPr>
        <w:t xml:space="preserve"> </w:t>
      </w:r>
    </w:p>
    <w:p w14:paraId="3C5D8182" w14:textId="77777777" w:rsidR="00CB79B8" w:rsidRPr="00CB79B8" w:rsidRDefault="00CB79B8" w:rsidP="00CB79B8">
      <w:pPr>
        <w:spacing w:line="360" w:lineRule="auto"/>
        <w:jc w:val="both"/>
        <w:rPr>
          <w:rFonts w:ascii="Times New Roman" w:hAnsi="Times New Roman" w:cs="Times New Roman"/>
        </w:rPr>
      </w:pPr>
    </w:p>
    <w:p w14:paraId="16893B5C" w14:textId="3E7454C4" w:rsidR="00F36FFA" w:rsidRPr="00DD35BD" w:rsidRDefault="004D56A1" w:rsidP="00066210">
      <w:pPr>
        <w:pStyle w:val="ListParagraph"/>
        <w:numPr>
          <w:ilvl w:val="0"/>
          <w:numId w:val="5"/>
        </w:numPr>
        <w:spacing w:line="360" w:lineRule="auto"/>
        <w:jc w:val="both"/>
        <w:rPr>
          <w:rFonts w:ascii="Times New Roman" w:hAnsi="Times New Roman" w:cs="Times New Roman"/>
        </w:rPr>
      </w:pPr>
      <w:r>
        <w:rPr>
          <w:rFonts w:ascii="Times New Roman" w:hAnsi="Times New Roman" w:cs="Times New Roman"/>
        </w:rPr>
        <w:t>One neighbour, Mr Daniel Round-</w:t>
      </w:r>
      <w:r w:rsidR="009D3DF8" w:rsidRPr="00DD35BD">
        <w:rPr>
          <w:rFonts w:ascii="Times New Roman" w:hAnsi="Times New Roman" w:cs="Times New Roman"/>
        </w:rPr>
        <w:t xml:space="preserve">Turner </w:t>
      </w:r>
      <w:r w:rsidR="00694CA2">
        <w:rPr>
          <w:rFonts w:ascii="Times New Roman" w:hAnsi="Times New Roman" w:cs="Times New Roman"/>
        </w:rPr>
        <w:t>made it clear</w:t>
      </w:r>
      <w:r w:rsidR="009D3DF8" w:rsidRPr="00DD35BD">
        <w:rPr>
          <w:rFonts w:ascii="Times New Roman" w:hAnsi="Times New Roman" w:cs="Times New Roman"/>
        </w:rPr>
        <w:t xml:space="preserve"> he felt privacy was a significant issue</w:t>
      </w:r>
      <w:r>
        <w:rPr>
          <w:rFonts w:ascii="Times New Roman" w:hAnsi="Times New Roman" w:cs="Times New Roman"/>
        </w:rPr>
        <w:t xml:space="preserve">. He told the inquiry: </w:t>
      </w:r>
      <w:r w:rsidR="009D3DF8" w:rsidRPr="00DD35BD">
        <w:rPr>
          <w:rFonts w:ascii="Times New Roman" w:hAnsi="Times New Roman" w:cs="Times New Roman"/>
        </w:rPr>
        <w:t>“</w:t>
      </w:r>
      <w:r w:rsidR="009D3DF8" w:rsidRPr="00694CA2">
        <w:rPr>
          <w:rFonts w:ascii="Times New Roman" w:hAnsi="Times New Roman" w:cs="Times New Roman"/>
          <w:i/>
          <w:iCs/>
        </w:rPr>
        <w:t>our kids won’t be able to play in our backyard, their balcony space looking into our property</w:t>
      </w:r>
      <w:r w:rsidR="009D3DF8" w:rsidRPr="00DD35BD">
        <w:rPr>
          <w:rFonts w:ascii="Times New Roman" w:hAnsi="Times New Roman" w:cs="Times New Roman"/>
        </w:rPr>
        <w:t>”. He also explained directly the</w:t>
      </w:r>
      <w:r>
        <w:rPr>
          <w:rFonts w:ascii="Times New Roman" w:hAnsi="Times New Roman" w:cs="Times New Roman"/>
        </w:rPr>
        <w:t xml:space="preserve"> impact of the</w:t>
      </w:r>
      <w:r w:rsidR="009D3DF8" w:rsidRPr="00DD35BD">
        <w:rPr>
          <w:rFonts w:ascii="Times New Roman" w:hAnsi="Times New Roman" w:cs="Times New Roman"/>
        </w:rPr>
        <w:t xml:space="preserve"> loss of light: </w:t>
      </w:r>
      <w:r>
        <w:rPr>
          <w:rFonts w:ascii="Times New Roman" w:hAnsi="Times New Roman" w:cs="Times New Roman"/>
        </w:rPr>
        <w:t>as a family they</w:t>
      </w:r>
      <w:r w:rsidR="009D3DF8" w:rsidRPr="00DD35BD">
        <w:rPr>
          <w:rFonts w:ascii="Times New Roman" w:hAnsi="Times New Roman" w:cs="Times New Roman"/>
        </w:rPr>
        <w:t xml:space="preserve"> want solar panels but </w:t>
      </w:r>
      <w:r>
        <w:rPr>
          <w:rFonts w:ascii="Times New Roman" w:hAnsi="Times New Roman" w:cs="Times New Roman"/>
        </w:rPr>
        <w:t xml:space="preserve">they have </w:t>
      </w:r>
      <w:r w:rsidR="009D3DF8" w:rsidRPr="00DD35BD">
        <w:rPr>
          <w:rFonts w:ascii="Times New Roman" w:hAnsi="Times New Roman" w:cs="Times New Roman"/>
        </w:rPr>
        <w:t>concern</w:t>
      </w:r>
      <w:r>
        <w:rPr>
          <w:rFonts w:ascii="Times New Roman" w:hAnsi="Times New Roman" w:cs="Times New Roman"/>
        </w:rPr>
        <w:t>s</w:t>
      </w:r>
      <w:r w:rsidR="009D3DF8" w:rsidRPr="00DD35BD">
        <w:rPr>
          <w:rFonts w:ascii="Times New Roman" w:hAnsi="Times New Roman" w:cs="Times New Roman"/>
        </w:rPr>
        <w:t xml:space="preserve"> about light availability after construction.</w:t>
      </w:r>
      <w:r>
        <w:rPr>
          <w:rFonts w:ascii="Times New Roman" w:hAnsi="Times New Roman" w:cs="Times New Roman"/>
        </w:rPr>
        <w:t xml:space="preserve"> Mr Round-Turner provided an Impact Statement which further explains his concerns</w:t>
      </w:r>
      <w:r>
        <w:rPr>
          <w:rStyle w:val="FootnoteReference"/>
          <w:rFonts w:ascii="Times New Roman" w:hAnsi="Times New Roman" w:cs="Times New Roman"/>
        </w:rPr>
        <w:footnoteReference w:id="46"/>
      </w:r>
      <w:r>
        <w:rPr>
          <w:rFonts w:ascii="Times New Roman" w:hAnsi="Times New Roman" w:cs="Times New Roman"/>
        </w:rPr>
        <w:t>.</w:t>
      </w:r>
    </w:p>
    <w:p w14:paraId="675D4BCA" w14:textId="77777777" w:rsidR="00811ADD" w:rsidRDefault="00811ADD" w:rsidP="000609E9">
      <w:pPr>
        <w:spacing w:line="360" w:lineRule="auto"/>
        <w:jc w:val="both"/>
        <w:rPr>
          <w:rFonts w:ascii="Times New Roman" w:hAnsi="Times New Roman" w:cs="Times New Roman"/>
        </w:rPr>
      </w:pPr>
    </w:p>
    <w:p w14:paraId="234926B4" w14:textId="77777777" w:rsidR="00B46DC8" w:rsidRDefault="00B46DC8" w:rsidP="000609E9">
      <w:pPr>
        <w:spacing w:line="360" w:lineRule="auto"/>
        <w:jc w:val="both"/>
        <w:rPr>
          <w:rFonts w:ascii="Times New Roman" w:hAnsi="Times New Roman" w:cs="Times New Roman"/>
        </w:rPr>
      </w:pPr>
    </w:p>
    <w:p w14:paraId="7128686E" w14:textId="77777777" w:rsidR="00B46DC8" w:rsidRDefault="00B46DC8" w:rsidP="000609E9">
      <w:pPr>
        <w:spacing w:line="360" w:lineRule="auto"/>
        <w:jc w:val="both"/>
        <w:rPr>
          <w:rFonts w:ascii="Times New Roman" w:hAnsi="Times New Roman" w:cs="Times New Roman"/>
        </w:rPr>
      </w:pPr>
    </w:p>
    <w:p w14:paraId="1A3FD62E" w14:textId="77777777" w:rsidR="00B46DC8" w:rsidRPr="00DD35BD" w:rsidRDefault="00B46DC8" w:rsidP="000609E9">
      <w:pPr>
        <w:spacing w:line="360" w:lineRule="auto"/>
        <w:jc w:val="both"/>
        <w:rPr>
          <w:rFonts w:ascii="Times New Roman" w:hAnsi="Times New Roman" w:cs="Times New Roman"/>
        </w:rPr>
      </w:pPr>
    </w:p>
    <w:p w14:paraId="03334D98" w14:textId="37B16E1F" w:rsidR="004C0069" w:rsidRPr="00472799" w:rsidRDefault="004C0069" w:rsidP="000609E9">
      <w:pPr>
        <w:spacing w:line="360" w:lineRule="auto"/>
        <w:jc w:val="both"/>
        <w:rPr>
          <w:rFonts w:ascii="Times New Roman" w:hAnsi="Times New Roman" w:cs="Times New Roman"/>
          <w:b/>
          <w:bCs/>
          <w:u w:val="single"/>
        </w:rPr>
      </w:pPr>
      <w:r w:rsidRPr="00472799">
        <w:rPr>
          <w:rFonts w:ascii="Times New Roman" w:hAnsi="Times New Roman" w:cs="Times New Roman"/>
          <w:b/>
          <w:bCs/>
          <w:u w:val="single"/>
        </w:rPr>
        <w:t>Main Issue 4: Design and Townscape</w:t>
      </w:r>
    </w:p>
    <w:p w14:paraId="48943205" w14:textId="77777777" w:rsidR="001B7BA2" w:rsidRDefault="001B7BA2" w:rsidP="000609E9">
      <w:pPr>
        <w:spacing w:line="360" w:lineRule="auto"/>
        <w:jc w:val="both"/>
        <w:rPr>
          <w:rFonts w:ascii="Times New Roman" w:hAnsi="Times New Roman" w:cs="Times New Roman"/>
        </w:rPr>
      </w:pPr>
    </w:p>
    <w:p w14:paraId="60BB4613" w14:textId="60D4C911" w:rsidR="00260BD1" w:rsidRPr="00260BD1" w:rsidRDefault="00A44109" w:rsidP="00260BD1">
      <w:pPr>
        <w:pStyle w:val="ListParagraph"/>
        <w:numPr>
          <w:ilvl w:val="0"/>
          <w:numId w:val="5"/>
        </w:numPr>
        <w:spacing w:line="360" w:lineRule="auto"/>
        <w:jc w:val="both"/>
        <w:rPr>
          <w:rFonts w:ascii="Times New Roman" w:hAnsi="Times New Roman" w:cs="Times New Roman"/>
        </w:rPr>
      </w:pPr>
      <w:r w:rsidRPr="00260BD1">
        <w:rPr>
          <w:rFonts w:ascii="Times New Roman" w:hAnsi="Times New Roman" w:cs="Times New Roman"/>
        </w:rPr>
        <w:t xml:space="preserve">The </w:t>
      </w:r>
      <w:r w:rsidR="00DD76EA" w:rsidRPr="00260BD1">
        <w:rPr>
          <w:rFonts w:ascii="Times New Roman" w:hAnsi="Times New Roman" w:cs="Times New Roman"/>
        </w:rPr>
        <w:t>NPPF par</w:t>
      </w:r>
      <w:r w:rsidRPr="00260BD1">
        <w:rPr>
          <w:rFonts w:ascii="Times New Roman" w:hAnsi="Times New Roman" w:cs="Times New Roman"/>
        </w:rPr>
        <w:t>agraph</w:t>
      </w:r>
      <w:r w:rsidR="00260BD1" w:rsidRPr="00260BD1">
        <w:rPr>
          <w:rFonts w:ascii="Times New Roman" w:hAnsi="Times New Roman" w:cs="Times New Roman"/>
        </w:rPr>
        <w:t xml:space="preserve"> 139 </w:t>
      </w:r>
      <w:r w:rsidR="008E2A65" w:rsidRPr="00260BD1">
        <w:rPr>
          <w:rFonts w:ascii="Times New Roman" w:hAnsi="Times New Roman" w:cs="Times New Roman"/>
        </w:rPr>
        <w:t>is the starting point for any assessment</w:t>
      </w:r>
      <w:r w:rsidR="00260BD1" w:rsidRPr="00260BD1">
        <w:rPr>
          <w:rFonts w:ascii="Times New Roman" w:hAnsi="Times New Roman" w:cs="Times New Roman"/>
        </w:rPr>
        <w:t>. It provides that “</w:t>
      </w:r>
      <w:r w:rsidR="00260BD1" w:rsidRPr="00260BD1">
        <w:rPr>
          <w:rFonts w:ascii="Times New Roman" w:hAnsi="Times New Roman" w:cs="Times New Roman"/>
          <w:i/>
          <w:iCs/>
        </w:rPr>
        <w:t>Development that is not well designed should be refused, especially where it fails to reflect local design policies and government guidance on design, taking into account any local design guidance and supplementary planning documents such as design guides and codes.”</w:t>
      </w:r>
    </w:p>
    <w:p w14:paraId="39BC1B1F" w14:textId="77777777" w:rsidR="00260BD1" w:rsidRPr="00260BD1" w:rsidRDefault="00260BD1" w:rsidP="00260BD1">
      <w:pPr>
        <w:spacing w:line="360" w:lineRule="auto"/>
        <w:jc w:val="both"/>
        <w:rPr>
          <w:rFonts w:ascii="Times New Roman" w:hAnsi="Times New Roman" w:cs="Times New Roman"/>
        </w:rPr>
      </w:pPr>
    </w:p>
    <w:p w14:paraId="7E555C08" w14:textId="1E355801" w:rsidR="000E6B21" w:rsidRPr="00753A11" w:rsidRDefault="00535BD7" w:rsidP="00EA2B92">
      <w:pPr>
        <w:pStyle w:val="ListParagraph"/>
        <w:numPr>
          <w:ilvl w:val="0"/>
          <w:numId w:val="5"/>
        </w:numPr>
        <w:spacing w:line="360" w:lineRule="auto"/>
        <w:jc w:val="both"/>
        <w:rPr>
          <w:rFonts w:ascii="Times New Roman" w:hAnsi="Times New Roman" w:cs="Times New Roman"/>
        </w:rPr>
      </w:pPr>
      <w:r>
        <w:rPr>
          <w:rFonts w:ascii="Times New Roman" w:hAnsi="Times New Roman" w:cs="Times New Roman"/>
        </w:rPr>
        <w:t>In the</w:t>
      </w:r>
      <w:r w:rsidR="00887965" w:rsidRPr="00887965">
        <w:rPr>
          <w:rFonts w:ascii="Times New Roman" w:hAnsi="Times New Roman" w:cs="Times New Roman"/>
        </w:rPr>
        <w:t xml:space="preserve"> </w:t>
      </w:r>
      <w:r w:rsidR="00694CA2">
        <w:rPr>
          <w:rFonts w:ascii="Times New Roman" w:hAnsi="Times New Roman" w:cs="Times New Roman"/>
        </w:rPr>
        <w:t>R</w:t>
      </w:r>
      <w:r w:rsidR="00887965" w:rsidRPr="00887965">
        <w:rPr>
          <w:rFonts w:ascii="Times New Roman" w:hAnsi="Times New Roman" w:cs="Times New Roman"/>
        </w:rPr>
        <w:t>oundtable session</w:t>
      </w:r>
      <w:r>
        <w:rPr>
          <w:rFonts w:ascii="Times New Roman" w:hAnsi="Times New Roman" w:cs="Times New Roman"/>
        </w:rPr>
        <w:t>,</w:t>
      </w:r>
      <w:r w:rsidR="00887965" w:rsidRPr="00887965">
        <w:rPr>
          <w:rFonts w:ascii="Times New Roman" w:hAnsi="Times New Roman" w:cs="Times New Roman"/>
        </w:rPr>
        <w:t xml:space="preserve"> </w:t>
      </w:r>
      <w:r w:rsidR="00511639">
        <w:rPr>
          <w:rFonts w:ascii="Times New Roman" w:hAnsi="Times New Roman" w:cs="Times New Roman"/>
        </w:rPr>
        <w:t>Amanda Reynolds</w:t>
      </w:r>
      <w:r w:rsidR="00887965" w:rsidRPr="00887965">
        <w:rPr>
          <w:rFonts w:ascii="Times New Roman" w:hAnsi="Times New Roman" w:cs="Times New Roman"/>
        </w:rPr>
        <w:t xml:space="preserve"> </w:t>
      </w:r>
      <w:r w:rsidR="00753A11">
        <w:rPr>
          <w:rFonts w:ascii="Times New Roman" w:hAnsi="Times New Roman" w:cs="Times New Roman"/>
        </w:rPr>
        <w:t>highlighted the following points</w:t>
      </w:r>
      <w:r w:rsidR="001A5F47">
        <w:rPr>
          <w:rFonts w:ascii="Times New Roman" w:hAnsi="Times New Roman" w:cs="Times New Roman"/>
        </w:rPr>
        <w:t>:</w:t>
      </w:r>
    </w:p>
    <w:p w14:paraId="627B00FC" w14:textId="77777777" w:rsidR="000E6B21" w:rsidRPr="00535BD7" w:rsidRDefault="000E6B21" w:rsidP="00535BD7">
      <w:pPr>
        <w:pStyle w:val="ListParagraph"/>
        <w:rPr>
          <w:rFonts w:ascii="Times New Roman" w:hAnsi="Times New Roman" w:cs="Times New Roman"/>
        </w:rPr>
      </w:pPr>
    </w:p>
    <w:p w14:paraId="18BAA9C4" w14:textId="24F668C5" w:rsidR="00274928" w:rsidRPr="00003215" w:rsidRDefault="00274928" w:rsidP="00D500BF">
      <w:pPr>
        <w:pStyle w:val="ListParagraph"/>
        <w:numPr>
          <w:ilvl w:val="1"/>
          <w:numId w:val="5"/>
        </w:numPr>
        <w:spacing w:line="360" w:lineRule="auto"/>
        <w:jc w:val="both"/>
        <w:rPr>
          <w:rFonts w:ascii="Times New Roman" w:hAnsi="Times New Roman" w:cs="Times New Roman"/>
        </w:rPr>
      </w:pPr>
      <w:r w:rsidRPr="00003215">
        <w:rPr>
          <w:rFonts w:ascii="Times New Roman" w:hAnsi="Times New Roman" w:cs="Times New Roman"/>
        </w:rPr>
        <w:t>The most important</w:t>
      </w:r>
      <w:r w:rsidR="0010141C">
        <w:rPr>
          <w:rFonts w:ascii="Times New Roman" w:hAnsi="Times New Roman" w:cs="Times New Roman"/>
        </w:rPr>
        <w:t xml:space="preserve"> point</w:t>
      </w:r>
      <w:r w:rsidRPr="00003215">
        <w:rPr>
          <w:rFonts w:ascii="Times New Roman" w:hAnsi="Times New Roman" w:cs="Times New Roman"/>
        </w:rPr>
        <w:t xml:space="preserve"> is </w:t>
      </w:r>
      <w:r w:rsidR="00753A11">
        <w:rPr>
          <w:rFonts w:ascii="Times New Roman" w:hAnsi="Times New Roman" w:cs="Times New Roman"/>
        </w:rPr>
        <w:t xml:space="preserve">that a </w:t>
      </w:r>
      <w:r w:rsidRPr="00003215">
        <w:rPr>
          <w:rFonts w:ascii="Times New Roman" w:hAnsi="Times New Roman" w:cs="Times New Roman"/>
        </w:rPr>
        <w:t>design led response</w:t>
      </w:r>
      <w:r w:rsidR="00E402CB">
        <w:rPr>
          <w:rFonts w:ascii="Times New Roman" w:hAnsi="Times New Roman" w:cs="Times New Roman"/>
        </w:rPr>
        <w:t xml:space="preserve"> for a site like this in the centre of a development block</w:t>
      </w:r>
      <w:r w:rsidRPr="00003215">
        <w:rPr>
          <w:rFonts w:ascii="Times New Roman" w:hAnsi="Times New Roman" w:cs="Times New Roman"/>
        </w:rPr>
        <w:t xml:space="preserve"> starts with a comprehensive Masterplan that responds to the </w:t>
      </w:r>
      <w:r w:rsidR="009A021D">
        <w:rPr>
          <w:rFonts w:ascii="Times New Roman" w:hAnsi="Times New Roman" w:cs="Times New Roman"/>
        </w:rPr>
        <w:t>SPD</w:t>
      </w:r>
      <w:r w:rsidR="00C159CC">
        <w:rPr>
          <w:rStyle w:val="FootnoteReference"/>
          <w:rFonts w:ascii="Times New Roman" w:hAnsi="Times New Roman" w:cs="Times New Roman"/>
        </w:rPr>
        <w:footnoteReference w:id="47"/>
      </w:r>
      <w:r w:rsidR="009A021D">
        <w:rPr>
          <w:rFonts w:ascii="Times New Roman" w:hAnsi="Times New Roman" w:cs="Times New Roman"/>
        </w:rPr>
        <w:t>,</w:t>
      </w:r>
      <w:r w:rsidR="00753A11">
        <w:rPr>
          <w:rFonts w:ascii="Times New Roman" w:hAnsi="Times New Roman" w:cs="Times New Roman"/>
        </w:rPr>
        <w:t xml:space="preserve"> the</w:t>
      </w:r>
      <w:r w:rsidR="000E6B21" w:rsidRPr="00003215">
        <w:rPr>
          <w:rFonts w:ascii="Times New Roman" w:hAnsi="Times New Roman" w:cs="Times New Roman"/>
        </w:rPr>
        <w:t xml:space="preserve"> topography and </w:t>
      </w:r>
      <w:r w:rsidR="00753A11">
        <w:rPr>
          <w:rFonts w:ascii="Times New Roman" w:hAnsi="Times New Roman" w:cs="Times New Roman"/>
        </w:rPr>
        <w:t xml:space="preserve">the </w:t>
      </w:r>
      <w:r w:rsidR="000E6B21" w:rsidRPr="00003215">
        <w:rPr>
          <w:rFonts w:ascii="Times New Roman" w:hAnsi="Times New Roman" w:cs="Times New Roman"/>
        </w:rPr>
        <w:t xml:space="preserve">context. </w:t>
      </w:r>
      <w:r w:rsidR="00753A11">
        <w:rPr>
          <w:rFonts w:ascii="Times New Roman" w:hAnsi="Times New Roman" w:cs="Times New Roman"/>
        </w:rPr>
        <w:t xml:space="preserve">Such a Masterplan would not </w:t>
      </w:r>
      <w:r w:rsidR="000E6B21" w:rsidRPr="00003215">
        <w:rPr>
          <w:rFonts w:ascii="Times New Roman" w:hAnsi="Times New Roman" w:cs="Times New Roman"/>
        </w:rPr>
        <w:t>attempt to</w:t>
      </w:r>
      <w:r w:rsidR="00753A11">
        <w:rPr>
          <w:rFonts w:ascii="Times New Roman" w:hAnsi="Times New Roman" w:cs="Times New Roman"/>
        </w:rPr>
        <w:t xml:space="preserve"> simply</w:t>
      </w:r>
      <w:r w:rsidR="000E6B21" w:rsidRPr="00003215">
        <w:rPr>
          <w:rFonts w:ascii="Times New Roman" w:hAnsi="Times New Roman" w:cs="Times New Roman"/>
        </w:rPr>
        <w:t xml:space="preserve"> maximise the potential development on the site</w:t>
      </w:r>
      <w:r w:rsidR="00753A11">
        <w:rPr>
          <w:rFonts w:ascii="Times New Roman" w:hAnsi="Times New Roman" w:cs="Times New Roman"/>
        </w:rPr>
        <w:t xml:space="preserve">, but respond to the context. There is no such Masterplan here. As such, this is not a design led response. </w:t>
      </w:r>
    </w:p>
    <w:p w14:paraId="6E3E039F" w14:textId="77777777" w:rsidR="000E6B21" w:rsidRPr="000E6B21" w:rsidRDefault="000E6B21" w:rsidP="000E6B21">
      <w:pPr>
        <w:spacing w:line="360" w:lineRule="auto"/>
        <w:jc w:val="both"/>
        <w:rPr>
          <w:rFonts w:ascii="Times New Roman" w:hAnsi="Times New Roman" w:cs="Times New Roman"/>
        </w:rPr>
      </w:pPr>
    </w:p>
    <w:p w14:paraId="1DDD69DE" w14:textId="536934BC" w:rsidR="00003215" w:rsidRDefault="00D500BF" w:rsidP="00003215">
      <w:pPr>
        <w:pStyle w:val="ListParagraph"/>
        <w:numPr>
          <w:ilvl w:val="1"/>
          <w:numId w:val="5"/>
        </w:numPr>
        <w:spacing w:line="360" w:lineRule="auto"/>
        <w:jc w:val="both"/>
        <w:rPr>
          <w:rFonts w:ascii="Times New Roman" w:hAnsi="Times New Roman" w:cs="Times New Roman"/>
        </w:rPr>
      </w:pPr>
      <w:r>
        <w:rPr>
          <w:rFonts w:ascii="Times New Roman" w:hAnsi="Times New Roman" w:cs="Times New Roman"/>
        </w:rPr>
        <w:t xml:space="preserve">The </w:t>
      </w:r>
      <w:r w:rsidR="00274928">
        <w:rPr>
          <w:rFonts w:ascii="Times New Roman" w:hAnsi="Times New Roman" w:cs="Times New Roman"/>
        </w:rPr>
        <w:t>built form</w:t>
      </w:r>
      <w:r w:rsidR="00E740FE">
        <w:rPr>
          <w:rFonts w:ascii="Times New Roman" w:hAnsi="Times New Roman" w:cs="Times New Roman"/>
        </w:rPr>
        <w:t xml:space="preserve"> of the appeal proposal</w:t>
      </w:r>
      <w:r w:rsidR="00274928">
        <w:rPr>
          <w:rFonts w:ascii="Times New Roman" w:hAnsi="Times New Roman" w:cs="Times New Roman"/>
        </w:rPr>
        <w:t xml:space="preserve"> should respond to the topography by stepping down</w:t>
      </w:r>
      <w:r w:rsidR="00E740FE">
        <w:rPr>
          <w:rFonts w:ascii="Times New Roman" w:hAnsi="Times New Roman" w:cs="Times New Roman"/>
        </w:rPr>
        <w:t xml:space="preserve"> the hill. This is not what happens here</w:t>
      </w:r>
      <w:r w:rsidR="00274928">
        <w:rPr>
          <w:rFonts w:ascii="Times New Roman" w:hAnsi="Times New Roman" w:cs="Times New Roman"/>
        </w:rPr>
        <w:t>: Block A i</w:t>
      </w:r>
      <w:r w:rsidR="00E740FE">
        <w:rPr>
          <w:rFonts w:ascii="Times New Roman" w:hAnsi="Times New Roman" w:cs="Times New Roman"/>
        </w:rPr>
        <w:t>ncreases in height, not decreases,</w:t>
      </w:r>
      <w:r w:rsidR="00274928">
        <w:rPr>
          <w:rFonts w:ascii="Times New Roman" w:hAnsi="Times New Roman" w:cs="Times New Roman"/>
        </w:rPr>
        <w:t xml:space="preserve"> and it steps up</w:t>
      </w:r>
      <w:r w:rsidR="00E740FE">
        <w:rPr>
          <w:rFonts w:ascii="Times New Roman" w:hAnsi="Times New Roman" w:cs="Times New Roman"/>
        </w:rPr>
        <w:t xml:space="preserve"> the hill</w:t>
      </w:r>
      <w:r w:rsidR="00274928">
        <w:rPr>
          <w:rFonts w:ascii="Times New Roman" w:hAnsi="Times New Roman" w:cs="Times New Roman"/>
        </w:rPr>
        <w:t>, not down.</w:t>
      </w:r>
      <w:r w:rsidR="00CD4E8B">
        <w:rPr>
          <w:rFonts w:ascii="Times New Roman" w:hAnsi="Times New Roman" w:cs="Times New Roman"/>
        </w:rPr>
        <w:t xml:space="preserve"> To respond to the context, the blocks should be lower in absolute heigh and physically step down the hill.</w:t>
      </w:r>
      <w:r w:rsidR="00274928">
        <w:rPr>
          <w:rFonts w:ascii="Times New Roman" w:hAnsi="Times New Roman" w:cs="Times New Roman"/>
        </w:rPr>
        <w:t xml:space="preserve"> </w:t>
      </w:r>
      <w:r w:rsidR="00CD4E8B">
        <w:rPr>
          <w:rFonts w:ascii="Times New Roman" w:hAnsi="Times New Roman" w:cs="Times New Roman"/>
        </w:rPr>
        <w:t xml:space="preserve">That is not the case with the appeal proposal. </w:t>
      </w:r>
      <w:r w:rsidR="00E740FE">
        <w:rPr>
          <w:rFonts w:ascii="Times New Roman" w:hAnsi="Times New Roman" w:cs="Times New Roman"/>
        </w:rPr>
        <w:t>While the design</w:t>
      </w:r>
      <w:r w:rsidR="00003215">
        <w:rPr>
          <w:rFonts w:ascii="Times New Roman" w:hAnsi="Times New Roman" w:cs="Times New Roman"/>
        </w:rPr>
        <w:t xml:space="preserve"> has taken topography into account, </w:t>
      </w:r>
      <w:r w:rsidR="00CD4E8B">
        <w:rPr>
          <w:rFonts w:ascii="Times New Roman" w:hAnsi="Times New Roman" w:cs="Times New Roman"/>
        </w:rPr>
        <w:t>it</w:t>
      </w:r>
      <w:r w:rsidR="00003215">
        <w:rPr>
          <w:rFonts w:ascii="Times New Roman" w:hAnsi="Times New Roman" w:cs="Times New Roman"/>
        </w:rPr>
        <w:t xml:space="preserve"> has not</w:t>
      </w:r>
      <w:r w:rsidR="00003215" w:rsidRPr="00CD4E8B">
        <w:rPr>
          <w:rFonts w:ascii="Times New Roman" w:hAnsi="Times New Roman" w:cs="Times New Roman"/>
        </w:rPr>
        <w:t xml:space="preserve"> responded</w:t>
      </w:r>
      <w:r w:rsidR="00003215">
        <w:rPr>
          <w:rFonts w:ascii="Times New Roman" w:hAnsi="Times New Roman" w:cs="Times New Roman"/>
        </w:rPr>
        <w:t xml:space="preserve"> in an appropriate way as set out in</w:t>
      </w:r>
      <w:r w:rsidR="00CD4E8B">
        <w:rPr>
          <w:rFonts w:ascii="Times New Roman" w:hAnsi="Times New Roman" w:cs="Times New Roman"/>
        </w:rPr>
        <w:t xml:space="preserve"> the</w:t>
      </w:r>
      <w:r w:rsidR="00003215">
        <w:rPr>
          <w:rFonts w:ascii="Times New Roman" w:hAnsi="Times New Roman" w:cs="Times New Roman"/>
        </w:rPr>
        <w:t xml:space="preserve"> SPD</w:t>
      </w:r>
      <w:r w:rsidR="00B2048C">
        <w:rPr>
          <w:rFonts w:ascii="Times New Roman" w:hAnsi="Times New Roman" w:cs="Times New Roman"/>
        </w:rPr>
        <w:t xml:space="preserve"> at paragraph 7.10.</w:t>
      </w:r>
    </w:p>
    <w:p w14:paraId="3E4C041D" w14:textId="77777777" w:rsidR="001F2A5E" w:rsidRPr="00ED639A" w:rsidRDefault="001F2A5E" w:rsidP="00ED639A">
      <w:pPr>
        <w:rPr>
          <w:rFonts w:ascii="Times New Roman" w:hAnsi="Times New Roman" w:cs="Times New Roman"/>
        </w:rPr>
      </w:pPr>
    </w:p>
    <w:p w14:paraId="5D772179" w14:textId="5ABDCFE3" w:rsidR="001F2A5E" w:rsidRDefault="00ED639A" w:rsidP="00003215">
      <w:pPr>
        <w:pStyle w:val="ListParagraph"/>
        <w:numPr>
          <w:ilvl w:val="1"/>
          <w:numId w:val="5"/>
        </w:numPr>
        <w:spacing w:line="360" w:lineRule="auto"/>
        <w:jc w:val="both"/>
        <w:rPr>
          <w:rFonts w:ascii="Times New Roman" w:hAnsi="Times New Roman" w:cs="Times New Roman"/>
        </w:rPr>
      </w:pPr>
      <w:r>
        <w:rPr>
          <w:rFonts w:ascii="Times New Roman" w:hAnsi="Times New Roman" w:cs="Times New Roman"/>
        </w:rPr>
        <w:t>The appeal proposal is t</w:t>
      </w:r>
      <w:r w:rsidR="001F2A5E">
        <w:rPr>
          <w:rFonts w:ascii="Times New Roman" w:hAnsi="Times New Roman" w:cs="Times New Roman"/>
        </w:rPr>
        <w:t xml:space="preserve">oo close to </w:t>
      </w:r>
      <w:r>
        <w:rPr>
          <w:rFonts w:ascii="Times New Roman" w:hAnsi="Times New Roman" w:cs="Times New Roman"/>
        </w:rPr>
        <w:t xml:space="preserve">the </w:t>
      </w:r>
      <w:r w:rsidR="001F2A5E">
        <w:rPr>
          <w:rFonts w:ascii="Times New Roman" w:hAnsi="Times New Roman" w:cs="Times New Roman"/>
        </w:rPr>
        <w:t>boundaries</w:t>
      </w:r>
      <w:r>
        <w:rPr>
          <w:rFonts w:ascii="Times New Roman" w:hAnsi="Times New Roman" w:cs="Times New Roman"/>
        </w:rPr>
        <w:t xml:space="preserve"> of the appeal site</w:t>
      </w:r>
      <w:r w:rsidR="001F2A5E">
        <w:rPr>
          <w:rFonts w:ascii="Times New Roman" w:hAnsi="Times New Roman" w:cs="Times New Roman"/>
        </w:rPr>
        <w:t xml:space="preserve">, which </w:t>
      </w:r>
      <w:r>
        <w:rPr>
          <w:rFonts w:ascii="Times New Roman" w:hAnsi="Times New Roman" w:cs="Times New Roman"/>
        </w:rPr>
        <w:t xml:space="preserve">negatively </w:t>
      </w:r>
      <w:r w:rsidR="001F2A5E">
        <w:rPr>
          <w:rFonts w:ascii="Times New Roman" w:hAnsi="Times New Roman" w:cs="Times New Roman"/>
        </w:rPr>
        <w:t>adds to</w:t>
      </w:r>
      <w:r>
        <w:rPr>
          <w:rFonts w:ascii="Times New Roman" w:hAnsi="Times New Roman" w:cs="Times New Roman"/>
        </w:rPr>
        <w:t xml:space="preserve"> the</w:t>
      </w:r>
      <w:r w:rsidR="001F2A5E">
        <w:rPr>
          <w:rFonts w:ascii="Times New Roman" w:hAnsi="Times New Roman" w:cs="Times New Roman"/>
        </w:rPr>
        <w:t xml:space="preserve"> overall massing, and</w:t>
      </w:r>
      <w:r>
        <w:rPr>
          <w:rFonts w:ascii="Times New Roman" w:hAnsi="Times New Roman" w:cs="Times New Roman"/>
        </w:rPr>
        <w:t xml:space="preserve"> very importantly</w:t>
      </w:r>
      <w:r w:rsidR="001F2A5E">
        <w:rPr>
          <w:rFonts w:ascii="Times New Roman" w:hAnsi="Times New Roman" w:cs="Times New Roman"/>
        </w:rPr>
        <w:t xml:space="preserve"> negatively impacts </w:t>
      </w:r>
      <w:r>
        <w:rPr>
          <w:rFonts w:ascii="Times New Roman" w:hAnsi="Times New Roman" w:cs="Times New Roman"/>
        </w:rPr>
        <w:t xml:space="preserve">the </w:t>
      </w:r>
      <w:r w:rsidR="001F2A5E">
        <w:rPr>
          <w:rFonts w:ascii="Times New Roman" w:hAnsi="Times New Roman" w:cs="Times New Roman"/>
        </w:rPr>
        <w:t xml:space="preserve">developability of other sites in SA 10. </w:t>
      </w:r>
    </w:p>
    <w:p w14:paraId="4F4D7B00" w14:textId="77777777" w:rsidR="00846ADB" w:rsidRPr="00846ADB" w:rsidRDefault="00846ADB" w:rsidP="00846ADB">
      <w:pPr>
        <w:pStyle w:val="ListParagraph"/>
        <w:rPr>
          <w:rFonts w:ascii="Times New Roman" w:hAnsi="Times New Roman" w:cs="Times New Roman"/>
        </w:rPr>
      </w:pPr>
    </w:p>
    <w:p w14:paraId="3722DB8D" w14:textId="06A5E331" w:rsidR="00846ADB" w:rsidRDefault="00846ADB" w:rsidP="00003215">
      <w:pPr>
        <w:pStyle w:val="ListParagraph"/>
        <w:numPr>
          <w:ilvl w:val="1"/>
          <w:numId w:val="5"/>
        </w:numPr>
        <w:spacing w:line="360" w:lineRule="auto"/>
        <w:jc w:val="both"/>
        <w:rPr>
          <w:rFonts w:ascii="Times New Roman" w:hAnsi="Times New Roman" w:cs="Times New Roman"/>
        </w:rPr>
      </w:pPr>
      <w:r>
        <w:rPr>
          <w:rFonts w:ascii="Times New Roman" w:hAnsi="Times New Roman" w:cs="Times New Roman"/>
        </w:rPr>
        <w:t>The appeal proposal has far too many proposed units</w:t>
      </w:r>
      <w:r w:rsidR="00FE48C5">
        <w:rPr>
          <w:rFonts w:ascii="Times New Roman" w:hAnsi="Times New Roman" w:cs="Times New Roman"/>
        </w:rPr>
        <w:t>: it is not a low density scheme</w:t>
      </w:r>
      <w:r>
        <w:rPr>
          <w:rFonts w:ascii="Times New Roman" w:hAnsi="Times New Roman" w:cs="Times New Roman"/>
        </w:rPr>
        <w:t xml:space="preserve">. Site Allocation 10 </w:t>
      </w:r>
      <w:r w:rsidR="00A25D75">
        <w:rPr>
          <w:rFonts w:ascii="Times New Roman" w:hAnsi="Times New Roman" w:cs="Times New Roman"/>
        </w:rPr>
        <w:t>i</w:t>
      </w:r>
      <w:r>
        <w:rPr>
          <w:rFonts w:ascii="Times New Roman" w:hAnsi="Times New Roman" w:cs="Times New Roman"/>
        </w:rPr>
        <w:t xml:space="preserve">s designated </w:t>
      </w:r>
      <w:r w:rsidR="00A25D75">
        <w:rPr>
          <w:rFonts w:ascii="Times New Roman" w:hAnsi="Times New Roman" w:cs="Times New Roman"/>
        </w:rPr>
        <w:t xml:space="preserve">for the development of </w:t>
      </w:r>
      <w:r>
        <w:rPr>
          <w:rFonts w:ascii="Times New Roman" w:hAnsi="Times New Roman" w:cs="Times New Roman"/>
        </w:rPr>
        <w:t xml:space="preserve">1,230 </w:t>
      </w:r>
      <w:r>
        <w:rPr>
          <w:rFonts w:ascii="Times New Roman" w:hAnsi="Times New Roman" w:cs="Times New Roman"/>
        </w:rPr>
        <w:lastRenderedPageBreak/>
        <w:t>dwellings.</w:t>
      </w:r>
      <w:r w:rsidR="00A25D75">
        <w:rPr>
          <w:rFonts w:ascii="Times New Roman" w:hAnsi="Times New Roman" w:cs="Times New Roman"/>
        </w:rPr>
        <w:t xml:space="preserve"> To achieve that number, there need only be 4</w:t>
      </w:r>
      <w:r w:rsidR="00F77174">
        <w:rPr>
          <w:rFonts w:ascii="Times New Roman" w:hAnsi="Times New Roman" w:cs="Times New Roman"/>
        </w:rPr>
        <w:t>25 units per hectare</w:t>
      </w:r>
      <w:r w:rsidR="00FE0AF3">
        <w:rPr>
          <w:rStyle w:val="FootnoteReference"/>
          <w:rFonts w:ascii="Times New Roman" w:hAnsi="Times New Roman" w:cs="Times New Roman"/>
        </w:rPr>
        <w:footnoteReference w:id="48"/>
      </w:r>
      <w:r w:rsidR="00FE0AF3">
        <w:rPr>
          <w:rFonts w:ascii="Times New Roman" w:hAnsi="Times New Roman" w:cs="Times New Roman"/>
        </w:rPr>
        <w:t xml:space="preserve">, but the appeal proposal has a density of </w:t>
      </w:r>
      <w:r w:rsidR="00F77174">
        <w:rPr>
          <w:rFonts w:ascii="Times New Roman" w:hAnsi="Times New Roman" w:cs="Times New Roman"/>
        </w:rPr>
        <w:t>926</w:t>
      </w:r>
      <w:r w:rsidR="00FE0AF3">
        <w:rPr>
          <w:rFonts w:ascii="Times New Roman" w:hAnsi="Times New Roman" w:cs="Times New Roman"/>
        </w:rPr>
        <w:t xml:space="preserve"> units per hectare</w:t>
      </w:r>
      <w:r w:rsidR="00F77174">
        <w:rPr>
          <w:rFonts w:ascii="Times New Roman" w:hAnsi="Times New Roman" w:cs="Times New Roman"/>
        </w:rPr>
        <w:t xml:space="preserve">, which is 2.2x the </w:t>
      </w:r>
      <w:r w:rsidR="00FE0AF3">
        <w:rPr>
          <w:rFonts w:ascii="Times New Roman" w:hAnsi="Times New Roman" w:cs="Times New Roman"/>
        </w:rPr>
        <w:t>required level</w:t>
      </w:r>
      <w:r w:rsidR="00FE48C5">
        <w:rPr>
          <w:rFonts w:ascii="Times New Roman" w:hAnsi="Times New Roman" w:cs="Times New Roman"/>
        </w:rPr>
        <w:t>, and a density that is too high</w:t>
      </w:r>
      <w:r w:rsidR="00FE0AF3">
        <w:rPr>
          <w:rFonts w:ascii="Times New Roman" w:hAnsi="Times New Roman" w:cs="Times New Roman"/>
        </w:rPr>
        <w:t>. The</w:t>
      </w:r>
      <w:r w:rsidR="00A2170A">
        <w:rPr>
          <w:rFonts w:ascii="Times New Roman" w:hAnsi="Times New Roman" w:cs="Times New Roman"/>
        </w:rPr>
        <w:t xml:space="preserve"> point is, the</w:t>
      </w:r>
      <w:r w:rsidR="00FE0AF3">
        <w:rPr>
          <w:rFonts w:ascii="Times New Roman" w:hAnsi="Times New Roman" w:cs="Times New Roman"/>
        </w:rPr>
        <w:t xml:space="preserve">re is no need to deliver in the density argued by the Appellant to reach the </w:t>
      </w:r>
      <w:r w:rsidR="00A2170A">
        <w:rPr>
          <w:rFonts w:ascii="Times New Roman" w:hAnsi="Times New Roman" w:cs="Times New Roman"/>
        </w:rPr>
        <w:t xml:space="preserve">quantum of units </w:t>
      </w:r>
      <w:r w:rsidR="003155F6">
        <w:rPr>
          <w:rFonts w:ascii="Times New Roman" w:hAnsi="Times New Roman" w:cs="Times New Roman"/>
        </w:rPr>
        <w:t xml:space="preserve">required for SA 10 </w:t>
      </w:r>
      <w:r w:rsidR="00A2170A">
        <w:rPr>
          <w:rFonts w:ascii="Times New Roman" w:hAnsi="Times New Roman" w:cs="Times New Roman"/>
        </w:rPr>
        <w:t>(1,230)</w:t>
      </w:r>
      <w:r w:rsidR="00A2170A">
        <w:rPr>
          <w:rStyle w:val="FootnoteReference"/>
          <w:rFonts w:ascii="Times New Roman" w:hAnsi="Times New Roman" w:cs="Times New Roman"/>
        </w:rPr>
        <w:footnoteReference w:id="49"/>
      </w:r>
      <w:r w:rsidR="00A2170A">
        <w:rPr>
          <w:rFonts w:ascii="Times New Roman" w:hAnsi="Times New Roman" w:cs="Times New Roman"/>
        </w:rPr>
        <w:t>.</w:t>
      </w:r>
      <w:r w:rsidR="00FE0AF3">
        <w:rPr>
          <w:rFonts w:ascii="Times New Roman" w:hAnsi="Times New Roman" w:cs="Times New Roman"/>
        </w:rPr>
        <w:t xml:space="preserve"> </w:t>
      </w:r>
    </w:p>
    <w:p w14:paraId="5B7549E7" w14:textId="77777777" w:rsidR="00B2048C" w:rsidRPr="00B2048C" w:rsidRDefault="00B2048C" w:rsidP="00B2048C">
      <w:pPr>
        <w:pStyle w:val="ListParagraph"/>
        <w:rPr>
          <w:rFonts w:ascii="Times New Roman" w:hAnsi="Times New Roman" w:cs="Times New Roman"/>
        </w:rPr>
      </w:pPr>
    </w:p>
    <w:p w14:paraId="58F21DFD" w14:textId="19F4DAD6" w:rsidR="00B2048C" w:rsidRDefault="00B2048C" w:rsidP="00003215">
      <w:pPr>
        <w:pStyle w:val="ListParagraph"/>
        <w:numPr>
          <w:ilvl w:val="1"/>
          <w:numId w:val="5"/>
        </w:numPr>
        <w:spacing w:line="360" w:lineRule="auto"/>
        <w:jc w:val="both"/>
        <w:rPr>
          <w:rFonts w:ascii="Times New Roman" w:hAnsi="Times New Roman" w:cs="Times New Roman"/>
        </w:rPr>
      </w:pPr>
      <w:r>
        <w:rPr>
          <w:rFonts w:ascii="Times New Roman" w:hAnsi="Times New Roman" w:cs="Times New Roman"/>
        </w:rPr>
        <w:t xml:space="preserve">Bromley South is </w:t>
      </w:r>
      <w:r w:rsidR="00D43B67">
        <w:rPr>
          <w:rFonts w:ascii="Times New Roman" w:hAnsi="Times New Roman" w:cs="Times New Roman"/>
        </w:rPr>
        <w:t xml:space="preserve">a </w:t>
      </w:r>
      <w:r>
        <w:rPr>
          <w:rFonts w:ascii="Times New Roman" w:hAnsi="Times New Roman" w:cs="Times New Roman"/>
        </w:rPr>
        <w:t>tall cluster around the train station which is separate and can be distinguished from Site Allocation 10</w:t>
      </w:r>
      <w:r w:rsidR="001C14FB">
        <w:rPr>
          <w:rFonts w:ascii="Times New Roman" w:hAnsi="Times New Roman" w:cs="Times New Roman"/>
        </w:rPr>
        <w:t>. Bromley South</w:t>
      </w:r>
      <w:r>
        <w:rPr>
          <w:rFonts w:ascii="Times New Roman" w:hAnsi="Times New Roman" w:cs="Times New Roman"/>
        </w:rPr>
        <w:t xml:space="preserve"> is at the bottom of the hill, not the top.</w:t>
      </w:r>
    </w:p>
    <w:p w14:paraId="23A486E5" w14:textId="77777777" w:rsidR="007C5294" w:rsidRPr="007C5294" w:rsidRDefault="007C5294" w:rsidP="007C5294">
      <w:pPr>
        <w:pStyle w:val="ListParagraph"/>
        <w:rPr>
          <w:rFonts w:ascii="Times New Roman" w:hAnsi="Times New Roman" w:cs="Times New Roman"/>
        </w:rPr>
      </w:pPr>
    </w:p>
    <w:p w14:paraId="78D7E7FF" w14:textId="502159D6" w:rsidR="00CD4E8B" w:rsidRDefault="00F77174" w:rsidP="00F77174">
      <w:pPr>
        <w:pStyle w:val="ListParagraph"/>
        <w:numPr>
          <w:ilvl w:val="1"/>
          <w:numId w:val="5"/>
        </w:numPr>
        <w:spacing w:line="360" w:lineRule="auto"/>
        <w:jc w:val="both"/>
        <w:rPr>
          <w:rFonts w:ascii="Times New Roman" w:hAnsi="Times New Roman" w:cs="Times New Roman"/>
        </w:rPr>
      </w:pPr>
      <w:r>
        <w:rPr>
          <w:rFonts w:ascii="Times New Roman" w:hAnsi="Times New Roman" w:cs="Times New Roman"/>
        </w:rPr>
        <w:t xml:space="preserve">Because of the overall massing, there are design flaws: the large blank wall facing down the hill </w:t>
      </w:r>
      <w:r w:rsidR="007C5294">
        <w:rPr>
          <w:rFonts w:ascii="Times New Roman" w:hAnsi="Times New Roman" w:cs="Times New Roman"/>
        </w:rPr>
        <w:t>increases</w:t>
      </w:r>
      <w:r>
        <w:rPr>
          <w:rFonts w:ascii="Times New Roman" w:hAnsi="Times New Roman" w:cs="Times New Roman"/>
        </w:rPr>
        <w:t xml:space="preserve"> the</w:t>
      </w:r>
      <w:r w:rsidR="007C5294">
        <w:rPr>
          <w:rFonts w:ascii="Times New Roman" w:hAnsi="Times New Roman" w:cs="Times New Roman"/>
        </w:rPr>
        <w:t xml:space="preserve"> sense of mass. </w:t>
      </w:r>
      <w:r>
        <w:rPr>
          <w:rFonts w:ascii="Times New Roman" w:hAnsi="Times New Roman" w:cs="Times New Roman"/>
        </w:rPr>
        <w:t>It is not possible to add more windows to that wall because of overlooking and privacy issues. These features would not be prevalent if the</w:t>
      </w:r>
      <w:r w:rsidR="00B423A0">
        <w:rPr>
          <w:rFonts w:ascii="Times New Roman" w:hAnsi="Times New Roman" w:cs="Times New Roman"/>
        </w:rPr>
        <w:t>ir</w:t>
      </w:r>
      <w:r>
        <w:rPr>
          <w:rFonts w:ascii="Times New Roman" w:hAnsi="Times New Roman" w:cs="Times New Roman"/>
        </w:rPr>
        <w:t xml:space="preserve"> design was less big.</w:t>
      </w:r>
    </w:p>
    <w:p w14:paraId="07FD5868" w14:textId="77777777" w:rsidR="00EA3A42" w:rsidRPr="0062382D" w:rsidRDefault="00EA3A42" w:rsidP="0062382D">
      <w:pPr>
        <w:spacing w:line="360" w:lineRule="auto"/>
        <w:jc w:val="both"/>
        <w:rPr>
          <w:rFonts w:ascii="Times New Roman" w:hAnsi="Times New Roman" w:cs="Times New Roman"/>
        </w:rPr>
      </w:pPr>
    </w:p>
    <w:p w14:paraId="6C655650" w14:textId="77937113" w:rsidR="00BA1763" w:rsidRPr="008F173D" w:rsidRDefault="008F173D" w:rsidP="008F173D">
      <w:pPr>
        <w:pStyle w:val="ListParagraph"/>
        <w:numPr>
          <w:ilvl w:val="0"/>
          <w:numId w:val="5"/>
        </w:numPr>
        <w:spacing w:line="360" w:lineRule="auto"/>
        <w:jc w:val="both"/>
        <w:rPr>
          <w:rFonts w:ascii="Times New Roman" w:hAnsi="Times New Roman" w:cs="Times New Roman"/>
        </w:rPr>
      </w:pPr>
      <w:r>
        <w:rPr>
          <w:rFonts w:ascii="Times New Roman" w:hAnsi="Times New Roman" w:cs="Times New Roman"/>
        </w:rPr>
        <w:t xml:space="preserve">In her proof, Amanda Reynolds further expanded upon these points. Her </w:t>
      </w:r>
      <w:r w:rsidR="00D35255">
        <w:rPr>
          <w:rFonts w:ascii="Times New Roman" w:hAnsi="Times New Roman" w:cs="Times New Roman"/>
        </w:rPr>
        <w:t>drawings</w:t>
      </w:r>
      <w:r w:rsidR="00FE1B8A">
        <w:rPr>
          <w:rStyle w:val="FootnoteReference"/>
          <w:rFonts w:ascii="Times New Roman" w:hAnsi="Times New Roman" w:cs="Times New Roman"/>
        </w:rPr>
        <w:footnoteReference w:id="50"/>
      </w:r>
      <w:r w:rsidR="00D35255">
        <w:rPr>
          <w:rFonts w:ascii="Times New Roman" w:hAnsi="Times New Roman" w:cs="Times New Roman"/>
        </w:rPr>
        <w:t xml:space="preserve"> of the development on the hilltop, showing the </w:t>
      </w:r>
      <w:r w:rsidR="00FE1B8A">
        <w:rPr>
          <w:rFonts w:ascii="Times New Roman" w:hAnsi="Times New Roman" w:cs="Times New Roman"/>
        </w:rPr>
        <w:t>sloping hill</w:t>
      </w:r>
      <w:r>
        <w:rPr>
          <w:rFonts w:ascii="Times New Roman" w:hAnsi="Times New Roman" w:cs="Times New Roman"/>
        </w:rPr>
        <w:t>, are particularly noteworthy</w:t>
      </w:r>
      <w:r w:rsidR="00FE1B8A">
        <w:rPr>
          <w:rFonts w:ascii="Times New Roman" w:hAnsi="Times New Roman" w:cs="Times New Roman"/>
        </w:rPr>
        <w:t xml:space="preserve">. </w:t>
      </w:r>
      <w:r w:rsidR="0022112C">
        <w:rPr>
          <w:rFonts w:ascii="Times New Roman" w:hAnsi="Times New Roman" w:cs="Times New Roman"/>
        </w:rPr>
        <w:t xml:space="preserve">Her proof </w:t>
      </w:r>
      <w:r>
        <w:rPr>
          <w:rFonts w:ascii="Times New Roman" w:hAnsi="Times New Roman" w:cs="Times New Roman"/>
        </w:rPr>
        <w:t>highlighted the “</w:t>
      </w:r>
      <w:r w:rsidRPr="008F173D">
        <w:rPr>
          <w:rFonts w:ascii="Times New Roman" w:hAnsi="Times New Roman" w:cs="Times New Roman"/>
          <w:i/>
          <w:iCs/>
        </w:rPr>
        <w:t>large and assertive buildings which do not enhance the established character of either the High St area nor the surrounding residential areas stepping down the hills to the west</w:t>
      </w:r>
      <w:r>
        <w:rPr>
          <w:rFonts w:ascii="Times New Roman" w:hAnsi="Times New Roman" w:cs="Times New Roman"/>
        </w:rPr>
        <w:t>”</w:t>
      </w:r>
      <w:r w:rsidR="0022112C">
        <w:rPr>
          <w:rStyle w:val="FootnoteReference"/>
          <w:rFonts w:ascii="Times New Roman" w:hAnsi="Times New Roman" w:cs="Times New Roman"/>
        </w:rPr>
        <w:footnoteReference w:id="51"/>
      </w:r>
      <w:r>
        <w:rPr>
          <w:rFonts w:ascii="Times New Roman" w:hAnsi="Times New Roman" w:cs="Times New Roman"/>
        </w:rPr>
        <w:t>.</w:t>
      </w:r>
      <w:r w:rsidR="0022112C">
        <w:rPr>
          <w:rFonts w:ascii="Times New Roman" w:hAnsi="Times New Roman" w:cs="Times New Roman"/>
        </w:rPr>
        <w:t xml:space="preserve"> Her proof also</w:t>
      </w:r>
      <w:r>
        <w:rPr>
          <w:rFonts w:ascii="Times New Roman" w:hAnsi="Times New Roman" w:cs="Times New Roman"/>
        </w:rPr>
        <w:t xml:space="preserve"> emphasised that “</w:t>
      </w:r>
      <w:r w:rsidRPr="008F173D">
        <w:rPr>
          <w:rFonts w:ascii="Times New Roman" w:hAnsi="Times New Roman" w:cs="Times New Roman"/>
          <w:i/>
          <w:iCs/>
        </w:rPr>
        <w:t>no thought has gone into the potential heights of other buildings”</w:t>
      </w:r>
      <w:r w:rsidR="0022112C">
        <w:rPr>
          <w:rStyle w:val="FootnoteReference"/>
          <w:rFonts w:ascii="Times New Roman" w:hAnsi="Times New Roman" w:cs="Times New Roman"/>
          <w:i/>
          <w:iCs/>
        </w:rPr>
        <w:footnoteReference w:id="52"/>
      </w:r>
      <w:r w:rsidRPr="008F173D">
        <w:rPr>
          <w:rFonts w:ascii="Times New Roman" w:hAnsi="Times New Roman" w:cs="Times New Roman"/>
          <w:i/>
          <w:iCs/>
        </w:rPr>
        <w:t>.</w:t>
      </w:r>
    </w:p>
    <w:p w14:paraId="338CFBC6" w14:textId="77777777" w:rsidR="00716617" w:rsidRPr="008F173D" w:rsidRDefault="00716617" w:rsidP="008F173D">
      <w:pPr>
        <w:spacing w:line="360" w:lineRule="auto"/>
        <w:rPr>
          <w:rFonts w:ascii="Times New Roman" w:hAnsi="Times New Roman" w:cs="Times New Roman"/>
        </w:rPr>
      </w:pPr>
    </w:p>
    <w:p w14:paraId="14A21ACE" w14:textId="28C7320D" w:rsidR="00F14815" w:rsidRDefault="00C4700E" w:rsidP="000609E9">
      <w:pPr>
        <w:pStyle w:val="ListParagraph"/>
        <w:numPr>
          <w:ilvl w:val="0"/>
          <w:numId w:val="5"/>
        </w:numPr>
        <w:spacing w:line="360" w:lineRule="auto"/>
        <w:jc w:val="both"/>
        <w:rPr>
          <w:rFonts w:ascii="Times New Roman" w:hAnsi="Times New Roman" w:cs="Times New Roman"/>
        </w:rPr>
      </w:pPr>
      <w:r>
        <w:rPr>
          <w:rFonts w:ascii="Times New Roman" w:hAnsi="Times New Roman" w:cs="Times New Roman"/>
        </w:rPr>
        <w:t>Amanda</w:t>
      </w:r>
      <w:r w:rsidR="00433852">
        <w:rPr>
          <w:rFonts w:ascii="Times New Roman" w:hAnsi="Times New Roman" w:cs="Times New Roman"/>
        </w:rPr>
        <w:t xml:space="preserve"> Reynolds finished </w:t>
      </w:r>
      <w:r w:rsidR="00BC233C">
        <w:rPr>
          <w:rFonts w:ascii="Times New Roman" w:hAnsi="Times New Roman" w:cs="Times New Roman"/>
        </w:rPr>
        <w:t>her evidence</w:t>
      </w:r>
      <w:r w:rsidR="008F173D">
        <w:rPr>
          <w:rFonts w:ascii="Times New Roman" w:hAnsi="Times New Roman" w:cs="Times New Roman"/>
        </w:rPr>
        <w:t xml:space="preserve"> at the Roundtable</w:t>
      </w:r>
      <w:r w:rsidR="00BC233C">
        <w:rPr>
          <w:rFonts w:ascii="Times New Roman" w:hAnsi="Times New Roman" w:cs="Times New Roman"/>
        </w:rPr>
        <w:t xml:space="preserve"> </w:t>
      </w:r>
      <w:r w:rsidR="00433852">
        <w:rPr>
          <w:rFonts w:ascii="Times New Roman" w:hAnsi="Times New Roman" w:cs="Times New Roman"/>
        </w:rPr>
        <w:t xml:space="preserve">with this sentence: that the building was </w:t>
      </w:r>
      <w:r w:rsidR="007A4B75" w:rsidRPr="00433852">
        <w:rPr>
          <w:rFonts w:ascii="Times New Roman" w:hAnsi="Times New Roman" w:cs="Times New Roman"/>
        </w:rPr>
        <w:t>“</w:t>
      </w:r>
      <w:r w:rsidR="00433852" w:rsidRPr="00B52BAD">
        <w:rPr>
          <w:rFonts w:ascii="Times New Roman" w:hAnsi="Times New Roman" w:cs="Times New Roman"/>
          <w:i/>
          <w:iCs/>
        </w:rPr>
        <w:t>t</w:t>
      </w:r>
      <w:r w:rsidR="007A4B75" w:rsidRPr="00B52BAD">
        <w:rPr>
          <w:rFonts w:ascii="Times New Roman" w:hAnsi="Times New Roman" w:cs="Times New Roman"/>
          <w:i/>
          <w:iCs/>
        </w:rPr>
        <w:t xml:space="preserve">oo high, too big, </w:t>
      </w:r>
      <w:r w:rsidR="00433852" w:rsidRPr="00B52BAD">
        <w:rPr>
          <w:rFonts w:ascii="Times New Roman" w:hAnsi="Times New Roman" w:cs="Times New Roman"/>
          <w:i/>
          <w:iCs/>
        </w:rPr>
        <w:t xml:space="preserve">and </w:t>
      </w:r>
      <w:r w:rsidR="007A4B75" w:rsidRPr="00B52BAD">
        <w:rPr>
          <w:rFonts w:ascii="Times New Roman" w:hAnsi="Times New Roman" w:cs="Times New Roman"/>
          <w:i/>
          <w:iCs/>
        </w:rPr>
        <w:t>overdevelopment</w:t>
      </w:r>
      <w:r w:rsidR="007A4B75" w:rsidRPr="00433852">
        <w:rPr>
          <w:rFonts w:ascii="Times New Roman" w:hAnsi="Times New Roman" w:cs="Times New Roman"/>
        </w:rPr>
        <w:t>”</w:t>
      </w:r>
      <w:r w:rsidR="00433852">
        <w:rPr>
          <w:rFonts w:ascii="Times New Roman" w:hAnsi="Times New Roman" w:cs="Times New Roman"/>
        </w:rPr>
        <w:t xml:space="preserve">. </w:t>
      </w:r>
      <w:r w:rsidR="008F173D">
        <w:rPr>
          <w:rFonts w:ascii="Times New Roman" w:hAnsi="Times New Roman" w:cs="Times New Roman"/>
        </w:rPr>
        <w:t xml:space="preserve">We invite the Inspector to adopt those conclusions. </w:t>
      </w:r>
      <w:r w:rsidR="001B009E">
        <w:rPr>
          <w:rFonts w:ascii="Times New Roman" w:hAnsi="Times New Roman" w:cs="Times New Roman"/>
        </w:rPr>
        <w:t xml:space="preserve">Furthermore </w:t>
      </w:r>
      <w:r w:rsidR="00181BF4">
        <w:rPr>
          <w:rFonts w:ascii="Times New Roman" w:hAnsi="Times New Roman" w:cs="Times New Roman"/>
        </w:rPr>
        <w:t xml:space="preserve">a number of density calculations have been submitted to the inquiry but the key point is regardless of </w:t>
      </w:r>
      <w:r w:rsidR="00DF4C7B">
        <w:rPr>
          <w:rFonts w:ascii="Times New Roman" w:hAnsi="Times New Roman" w:cs="Times New Roman"/>
        </w:rPr>
        <w:t xml:space="preserve">whether the Council or the Appellant figures </w:t>
      </w:r>
      <w:r w:rsidR="008578C4">
        <w:rPr>
          <w:rFonts w:ascii="Times New Roman" w:hAnsi="Times New Roman" w:cs="Times New Roman"/>
        </w:rPr>
        <w:t>required to realise development numbers are used</w:t>
      </w:r>
      <w:r w:rsidR="00991F8A">
        <w:rPr>
          <w:rFonts w:ascii="Times New Roman" w:hAnsi="Times New Roman" w:cs="Times New Roman"/>
        </w:rPr>
        <w:t xml:space="preserve">, the figure is still drastically less </w:t>
      </w:r>
      <w:r w:rsidR="001D5A38">
        <w:rPr>
          <w:rFonts w:ascii="Times New Roman" w:hAnsi="Times New Roman" w:cs="Times New Roman"/>
        </w:rPr>
        <w:t xml:space="preserve">than the density at the appeal site, which supports the </w:t>
      </w:r>
      <w:r w:rsidR="00617881">
        <w:rPr>
          <w:rFonts w:ascii="Times New Roman" w:hAnsi="Times New Roman" w:cs="Times New Roman"/>
        </w:rPr>
        <w:t xml:space="preserve">view that the appeal proposal is </w:t>
      </w:r>
      <w:r w:rsidR="007B520E">
        <w:rPr>
          <w:rFonts w:ascii="Times New Roman" w:hAnsi="Times New Roman" w:cs="Times New Roman"/>
        </w:rPr>
        <w:t>unnecessarily</w:t>
      </w:r>
      <w:r w:rsidR="00617881">
        <w:rPr>
          <w:rFonts w:ascii="Times New Roman" w:hAnsi="Times New Roman" w:cs="Times New Roman"/>
        </w:rPr>
        <w:t xml:space="preserve"> dense and </w:t>
      </w:r>
      <w:r w:rsidR="007B520E">
        <w:rPr>
          <w:rFonts w:ascii="Times New Roman" w:hAnsi="Times New Roman" w:cs="Times New Roman"/>
        </w:rPr>
        <w:t xml:space="preserve">and an overdevelopment. </w:t>
      </w:r>
    </w:p>
    <w:p w14:paraId="564AA6AA" w14:textId="77777777" w:rsidR="006F32FD" w:rsidRPr="006F32FD" w:rsidRDefault="006F32FD" w:rsidP="006F32FD">
      <w:pPr>
        <w:spacing w:line="360" w:lineRule="auto"/>
        <w:jc w:val="both"/>
        <w:rPr>
          <w:rFonts w:ascii="Times New Roman" w:hAnsi="Times New Roman" w:cs="Times New Roman"/>
        </w:rPr>
      </w:pPr>
    </w:p>
    <w:p w14:paraId="0870B486" w14:textId="36FD007B" w:rsidR="00FD20B2" w:rsidRDefault="006F32FD" w:rsidP="00066210">
      <w:pPr>
        <w:pStyle w:val="ListParagraph"/>
        <w:numPr>
          <w:ilvl w:val="0"/>
          <w:numId w:val="5"/>
        </w:numPr>
        <w:spacing w:line="360" w:lineRule="auto"/>
        <w:jc w:val="both"/>
        <w:rPr>
          <w:rFonts w:ascii="Times New Roman" w:hAnsi="Times New Roman" w:cs="Times New Roman"/>
        </w:rPr>
      </w:pPr>
      <w:r>
        <w:rPr>
          <w:rFonts w:ascii="Times New Roman" w:hAnsi="Times New Roman" w:cs="Times New Roman"/>
        </w:rPr>
        <w:lastRenderedPageBreak/>
        <w:t xml:space="preserve">The view that this building was poorly designed was shared by local residents. </w:t>
      </w:r>
      <w:r w:rsidR="00B52BAD">
        <w:rPr>
          <w:rFonts w:ascii="Times New Roman" w:hAnsi="Times New Roman" w:cs="Times New Roman"/>
        </w:rPr>
        <w:t xml:space="preserve">There were </w:t>
      </w:r>
      <w:r w:rsidR="0073697E">
        <w:rPr>
          <w:rFonts w:ascii="Times New Roman" w:hAnsi="Times New Roman" w:cs="Times New Roman"/>
        </w:rPr>
        <w:t>over 100</w:t>
      </w:r>
      <w:r w:rsidR="00B52BAD">
        <w:rPr>
          <w:rFonts w:ascii="Times New Roman" w:hAnsi="Times New Roman" w:cs="Times New Roman"/>
        </w:rPr>
        <w:t xml:space="preserve"> objections from residents. </w:t>
      </w:r>
      <w:r w:rsidR="00BD1227" w:rsidRPr="00DD35BD">
        <w:rPr>
          <w:rFonts w:ascii="Times New Roman" w:hAnsi="Times New Roman" w:cs="Times New Roman"/>
        </w:rPr>
        <w:t xml:space="preserve">Comments include: </w:t>
      </w:r>
      <w:r w:rsidR="00746569">
        <w:rPr>
          <w:rFonts w:ascii="Times New Roman" w:hAnsi="Times New Roman" w:cs="Times New Roman"/>
        </w:rPr>
        <w:t>“</w:t>
      </w:r>
      <w:r w:rsidR="00BD1227" w:rsidRPr="00746569">
        <w:rPr>
          <w:rFonts w:ascii="Times New Roman" w:hAnsi="Times New Roman" w:cs="Times New Roman"/>
          <w:i/>
          <w:iCs/>
        </w:rPr>
        <w:t>ugly and far too high</w:t>
      </w:r>
      <w:r w:rsidR="00746569">
        <w:rPr>
          <w:rFonts w:ascii="Times New Roman" w:hAnsi="Times New Roman" w:cs="Times New Roman"/>
        </w:rPr>
        <w:t>”</w:t>
      </w:r>
      <w:r w:rsidR="00746569">
        <w:rPr>
          <w:rStyle w:val="FootnoteReference"/>
          <w:rFonts w:ascii="Times New Roman" w:hAnsi="Times New Roman" w:cs="Times New Roman"/>
        </w:rPr>
        <w:footnoteReference w:id="53"/>
      </w:r>
      <w:r w:rsidR="00BD1227" w:rsidRPr="00DD35BD">
        <w:rPr>
          <w:rFonts w:ascii="Times New Roman" w:hAnsi="Times New Roman" w:cs="Times New Roman"/>
        </w:rPr>
        <w:t xml:space="preserve">; </w:t>
      </w:r>
      <w:r w:rsidR="00746569">
        <w:rPr>
          <w:rFonts w:ascii="Times New Roman" w:hAnsi="Times New Roman" w:cs="Times New Roman"/>
        </w:rPr>
        <w:t>“</w:t>
      </w:r>
      <w:r w:rsidR="00BD1227" w:rsidRPr="00746569">
        <w:rPr>
          <w:rFonts w:ascii="Times New Roman" w:hAnsi="Times New Roman" w:cs="Times New Roman"/>
          <w:i/>
          <w:iCs/>
        </w:rPr>
        <w:t>big ugly blocks</w:t>
      </w:r>
      <w:r w:rsidR="00746569">
        <w:rPr>
          <w:rFonts w:ascii="Times New Roman" w:hAnsi="Times New Roman" w:cs="Times New Roman"/>
          <w:i/>
          <w:iCs/>
        </w:rPr>
        <w:t>”</w:t>
      </w:r>
      <w:r w:rsidR="00746569">
        <w:rPr>
          <w:rStyle w:val="FootnoteReference"/>
          <w:rFonts w:ascii="Times New Roman" w:hAnsi="Times New Roman" w:cs="Times New Roman"/>
        </w:rPr>
        <w:footnoteReference w:id="54"/>
      </w:r>
      <w:r w:rsidR="00BD1227" w:rsidRPr="00DD35BD">
        <w:rPr>
          <w:rFonts w:ascii="Times New Roman" w:hAnsi="Times New Roman" w:cs="Times New Roman"/>
        </w:rPr>
        <w:t xml:space="preserve">, </w:t>
      </w:r>
      <w:r w:rsidR="00746569">
        <w:rPr>
          <w:rFonts w:ascii="Times New Roman" w:hAnsi="Times New Roman" w:cs="Times New Roman"/>
        </w:rPr>
        <w:t>“</w:t>
      </w:r>
      <w:r w:rsidR="00BD1227" w:rsidRPr="00746569">
        <w:rPr>
          <w:rFonts w:ascii="Times New Roman" w:hAnsi="Times New Roman" w:cs="Times New Roman"/>
          <w:i/>
          <w:iCs/>
        </w:rPr>
        <w:t>just plain ugly</w:t>
      </w:r>
      <w:r w:rsidR="00746569">
        <w:rPr>
          <w:rStyle w:val="FootnoteReference"/>
          <w:rFonts w:ascii="Times New Roman" w:hAnsi="Times New Roman" w:cs="Times New Roman"/>
        </w:rPr>
        <w:footnoteReference w:id="55"/>
      </w:r>
      <w:r w:rsidR="00BD1227" w:rsidRPr="00DD35BD">
        <w:rPr>
          <w:rFonts w:ascii="Times New Roman" w:hAnsi="Times New Roman" w:cs="Times New Roman"/>
        </w:rPr>
        <w:t xml:space="preserve">’; </w:t>
      </w:r>
      <w:r w:rsidR="00746569">
        <w:rPr>
          <w:rFonts w:ascii="Times New Roman" w:hAnsi="Times New Roman" w:cs="Times New Roman"/>
        </w:rPr>
        <w:t>“</w:t>
      </w:r>
      <w:r w:rsidR="00BD1227" w:rsidRPr="00746569">
        <w:rPr>
          <w:rFonts w:ascii="Times New Roman" w:hAnsi="Times New Roman" w:cs="Times New Roman"/>
          <w:i/>
          <w:iCs/>
        </w:rPr>
        <w:t>ugly high rise blocks</w:t>
      </w:r>
      <w:r w:rsidR="00746569">
        <w:rPr>
          <w:rFonts w:ascii="Times New Roman" w:hAnsi="Times New Roman" w:cs="Times New Roman"/>
        </w:rPr>
        <w:t>”</w:t>
      </w:r>
      <w:r w:rsidR="00746569">
        <w:rPr>
          <w:rStyle w:val="FootnoteReference"/>
          <w:rFonts w:ascii="Times New Roman" w:hAnsi="Times New Roman" w:cs="Times New Roman"/>
        </w:rPr>
        <w:footnoteReference w:id="56"/>
      </w:r>
      <w:r w:rsidR="00BD1227" w:rsidRPr="00DD35BD">
        <w:rPr>
          <w:rFonts w:ascii="Times New Roman" w:hAnsi="Times New Roman" w:cs="Times New Roman"/>
        </w:rPr>
        <w:t xml:space="preserve">, </w:t>
      </w:r>
      <w:r w:rsidR="00746569">
        <w:rPr>
          <w:rFonts w:ascii="Times New Roman" w:hAnsi="Times New Roman" w:cs="Times New Roman"/>
        </w:rPr>
        <w:t>“</w:t>
      </w:r>
      <w:r w:rsidR="00BD1227" w:rsidRPr="00746569">
        <w:rPr>
          <w:rFonts w:ascii="Times New Roman" w:hAnsi="Times New Roman" w:cs="Times New Roman"/>
          <w:i/>
          <w:iCs/>
        </w:rPr>
        <w:t>ugly unimaginative building</w:t>
      </w:r>
      <w:r w:rsidR="00746569">
        <w:rPr>
          <w:rFonts w:ascii="Times New Roman" w:hAnsi="Times New Roman" w:cs="Times New Roman"/>
        </w:rPr>
        <w:t>”</w:t>
      </w:r>
      <w:r w:rsidR="00746569">
        <w:rPr>
          <w:rStyle w:val="FootnoteReference"/>
          <w:rFonts w:ascii="Times New Roman" w:hAnsi="Times New Roman" w:cs="Times New Roman"/>
        </w:rPr>
        <w:footnoteReference w:id="57"/>
      </w:r>
      <w:r w:rsidR="00BD1227" w:rsidRPr="00DD35BD">
        <w:rPr>
          <w:rFonts w:ascii="Times New Roman" w:hAnsi="Times New Roman" w:cs="Times New Roman"/>
        </w:rPr>
        <w:t xml:space="preserve">, </w:t>
      </w:r>
      <w:r w:rsidR="00746569">
        <w:rPr>
          <w:rFonts w:ascii="Times New Roman" w:hAnsi="Times New Roman" w:cs="Times New Roman"/>
        </w:rPr>
        <w:t>“</w:t>
      </w:r>
      <w:r w:rsidR="00BD1227" w:rsidRPr="00746569">
        <w:rPr>
          <w:rFonts w:ascii="Times New Roman" w:hAnsi="Times New Roman" w:cs="Times New Roman"/>
          <w:i/>
          <w:iCs/>
        </w:rPr>
        <w:t>a visible eyesore</w:t>
      </w:r>
      <w:r w:rsidR="00746569">
        <w:rPr>
          <w:rFonts w:ascii="Times New Roman" w:hAnsi="Times New Roman" w:cs="Times New Roman"/>
        </w:rPr>
        <w:t>”</w:t>
      </w:r>
      <w:r w:rsidR="00746569">
        <w:rPr>
          <w:rStyle w:val="FootnoteReference"/>
          <w:rFonts w:ascii="Times New Roman" w:hAnsi="Times New Roman" w:cs="Times New Roman"/>
        </w:rPr>
        <w:footnoteReference w:id="58"/>
      </w:r>
      <w:r w:rsidR="00BD1227" w:rsidRPr="00DD35BD">
        <w:rPr>
          <w:rFonts w:ascii="Times New Roman" w:hAnsi="Times New Roman" w:cs="Times New Roman"/>
        </w:rPr>
        <w:t xml:space="preserve">, </w:t>
      </w:r>
      <w:r w:rsidR="00746569">
        <w:rPr>
          <w:rFonts w:ascii="Times New Roman" w:hAnsi="Times New Roman" w:cs="Times New Roman"/>
        </w:rPr>
        <w:t>“</w:t>
      </w:r>
      <w:r w:rsidR="00BD1227" w:rsidRPr="00746569">
        <w:rPr>
          <w:rFonts w:ascii="Times New Roman" w:hAnsi="Times New Roman" w:cs="Times New Roman"/>
          <w:i/>
          <w:iCs/>
        </w:rPr>
        <w:t>monstrous</w:t>
      </w:r>
      <w:r w:rsidR="00746569">
        <w:rPr>
          <w:rFonts w:ascii="Times New Roman" w:hAnsi="Times New Roman" w:cs="Times New Roman"/>
        </w:rPr>
        <w:t>”</w:t>
      </w:r>
      <w:r w:rsidR="00746569">
        <w:rPr>
          <w:rStyle w:val="FootnoteReference"/>
          <w:rFonts w:ascii="Times New Roman" w:hAnsi="Times New Roman" w:cs="Times New Roman"/>
        </w:rPr>
        <w:footnoteReference w:id="59"/>
      </w:r>
      <w:r w:rsidR="00BD1227" w:rsidRPr="00DD35BD">
        <w:rPr>
          <w:rFonts w:ascii="Times New Roman" w:hAnsi="Times New Roman" w:cs="Times New Roman"/>
        </w:rPr>
        <w:t xml:space="preserve">, </w:t>
      </w:r>
      <w:r w:rsidR="00746569">
        <w:rPr>
          <w:rFonts w:ascii="Times New Roman" w:hAnsi="Times New Roman" w:cs="Times New Roman"/>
        </w:rPr>
        <w:t>“</w:t>
      </w:r>
      <w:r w:rsidR="00BD1227" w:rsidRPr="00746569">
        <w:rPr>
          <w:rFonts w:ascii="Times New Roman" w:hAnsi="Times New Roman" w:cs="Times New Roman"/>
          <w:i/>
          <w:iCs/>
        </w:rPr>
        <w:t>nothing but an eyesore</w:t>
      </w:r>
      <w:r w:rsidR="00746569">
        <w:rPr>
          <w:rFonts w:ascii="Times New Roman" w:hAnsi="Times New Roman" w:cs="Times New Roman"/>
        </w:rPr>
        <w:t>”</w:t>
      </w:r>
      <w:r w:rsidR="00746569">
        <w:rPr>
          <w:rStyle w:val="FootnoteReference"/>
          <w:rFonts w:ascii="Times New Roman" w:hAnsi="Times New Roman" w:cs="Times New Roman"/>
        </w:rPr>
        <w:footnoteReference w:id="60"/>
      </w:r>
      <w:r w:rsidR="00BD1227" w:rsidRPr="00DD35BD">
        <w:rPr>
          <w:rFonts w:ascii="Times New Roman" w:hAnsi="Times New Roman" w:cs="Times New Roman"/>
        </w:rPr>
        <w:t>.</w:t>
      </w:r>
      <w:r w:rsidR="00F36FFA" w:rsidRPr="00DD35BD">
        <w:rPr>
          <w:rFonts w:ascii="Times New Roman" w:hAnsi="Times New Roman" w:cs="Times New Roman"/>
        </w:rPr>
        <w:t xml:space="preserve"> </w:t>
      </w:r>
    </w:p>
    <w:p w14:paraId="66CA1BF8" w14:textId="77777777" w:rsidR="00FD20B2" w:rsidRPr="00FD20B2" w:rsidRDefault="00FD20B2" w:rsidP="000609E9">
      <w:pPr>
        <w:pStyle w:val="ListParagraph"/>
        <w:spacing w:line="360" w:lineRule="auto"/>
        <w:jc w:val="both"/>
        <w:rPr>
          <w:rFonts w:ascii="Times New Roman" w:hAnsi="Times New Roman" w:cs="Times New Roman"/>
        </w:rPr>
      </w:pPr>
    </w:p>
    <w:p w14:paraId="481D8A49" w14:textId="5F506C61" w:rsidR="00DA2D3A" w:rsidRDefault="00FD20B2" w:rsidP="000609E9">
      <w:pPr>
        <w:pStyle w:val="ListParagraph"/>
        <w:numPr>
          <w:ilvl w:val="0"/>
          <w:numId w:val="5"/>
        </w:numPr>
        <w:spacing w:line="360" w:lineRule="auto"/>
        <w:jc w:val="both"/>
        <w:rPr>
          <w:rFonts w:ascii="Times New Roman" w:hAnsi="Times New Roman" w:cs="Times New Roman"/>
        </w:rPr>
      </w:pPr>
      <w:r>
        <w:rPr>
          <w:rFonts w:ascii="Times New Roman" w:hAnsi="Times New Roman" w:cs="Times New Roman"/>
        </w:rPr>
        <w:t>The overall view of poor design is</w:t>
      </w:r>
      <w:r w:rsidR="009D59BC" w:rsidRPr="00DD35BD">
        <w:rPr>
          <w:rFonts w:ascii="Times New Roman" w:hAnsi="Times New Roman" w:cs="Times New Roman"/>
        </w:rPr>
        <w:t xml:space="preserve"> supported by officers, members, </w:t>
      </w:r>
      <w:r w:rsidR="00DA2D3A">
        <w:rPr>
          <w:rFonts w:ascii="Times New Roman" w:hAnsi="Times New Roman" w:cs="Times New Roman"/>
        </w:rPr>
        <w:t xml:space="preserve">and the </w:t>
      </w:r>
      <w:r w:rsidR="009D59BC" w:rsidRPr="00DD35BD">
        <w:rPr>
          <w:rFonts w:ascii="Times New Roman" w:hAnsi="Times New Roman" w:cs="Times New Roman"/>
        </w:rPr>
        <w:t>GLA</w:t>
      </w:r>
      <w:r w:rsidR="00DA2D3A">
        <w:rPr>
          <w:rStyle w:val="FootnoteReference"/>
          <w:rFonts w:ascii="Times New Roman" w:hAnsi="Times New Roman" w:cs="Times New Roman"/>
        </w:rPr>
        <w:footnoteReference w:id="61"/>
      </w:r>
      <w:r>
        <w:rPr>
          <w:rFonts w:ascii="Times New Roman" w:hAnsi="Times New Roman" w:cs="Times New Roman"/>
        </w:rPr>
        <w:t xml:space="preserve"> </w:t>
      </w:r>
      <w:r w:rsidR="00DA2D3A">
        <w:rPr>
          <w:rFonts w:ascii="Times New Roman" w:hAnsi="Times New Roman" w:cs="Times New Roman"/>
        </w:rPr>
        <w:t xml:space="preserve">who said in their Phase 2 report: </w:t>
      </w:r>
    </w:p>
    <w:p w14:paraId="304EF37A" w14:textId="77777777" w:rsidR="00DA2D3A" w:rsidRDefault="00DA2D3A" w:rsidP="00DA2D3A">
      <w:pPr>
        <w:pStyle w:val="ListParagraph"/>
        <w:rPr>
          <w:rFonts w:ascii="Times New Roman" w:hAnsi="Times New Roman" w:cs="Times New Roman"/>
          <w:highlight w:val="yellow"/>
        </w:rPr>
      </w:pPr>
    </w:p>
    <w:p w14:paraId="41905114" w14:textId="03B68CAA" w:rsidR="00DA2D3A" w:rsidRPr="00DA2D3A" w:rsidRDefault="00DA2D3A" w:rsidP="00DA2D3A">
      <w:pPr>
        <w:pStyle w:val="ListParagraph"/>
        <w:spacing w:line="360" w:lineRule="auto"/>
        <w:ind w:left="1440" w:right="804"/>
        <w:jc w:val="both"/>
        <w:rPr>
          <w:rFonts w:ascii="Times New Roman" w:hAnsi="Times New Roman" w:cs="Times New Roman"/>
          <w:i/>
          <w:iCs/>
        </w:rPr>
      </w:pPr>
      <w:r>
        <w:rPr>
          <w:rFonts w:ascii="Times New Roman" w:hAnsi="Times New Roman" w:cs="Times New Roman"/>
          <w:i/>
          <w:iCs/>
        </w:rPr>
        <w:t>“</w:t>
      </w:r>
      <w:r w:rsidRPr="00DA2D3A">
        <w:rPr>
          <w:rFonts w:ascii="Times New Roman" w:hAnsi="Times New Roman" w:cs="Times New Roman"/>
          <w:i/>
          <w:iCs/>
        </w:rPr>
        <w:t>At consultation stage, significant concerns were raised about the very restricted separation distance of 8-12 metres between habitable rooms in the two tall buildings, including single aspect units, with balconies much closer. Significant concerns were also raised about the window openings on the side elevations, which would provide limited daylight or outlook, more-so should neighbouring sites come forward for development. Consequently, significant concerns were raised about residential quality in terms of privacy, overlooking, daylight and sunlight; as well as the quality of the very restricted and overshadowed communal residents’ amenity space between the two tall buildings, which would also worsen should neighbouring sites come forward for development. The proposals would also prejudice development of the adjacent sites, even with relatively limited height. Significant concerns were raised with the design, layout, massing, height, and density of the proposals, suggesting over-development of the site.</w:t>
      </w:r>
    </w:p>
    <w:p w14:paraId="3E1157E5" w14:textId="77777777" w:rsidR="00DA2D3A" w:rsidRPr="00DA2D3A" w:rsidRDefault="00DA2D3A" w:rsidP="00DA2D3A">
      <w:pPr>
        <w:pStyle w:val="ListParagraph"/>
        <w:rPr>
          <w:rFonts w:ascii="Times New Roman" w:hAnsi="Times New Roman" w:cs="Times New Roman"/>
          <w:highlight w:val="yellow"/>
        </w:rPr>
      </w:pPr>
    </w:p>
    <w:p w14:paraId="6269637E" w14:textId="7F3E0CC1" w:rsidR="007E528A" w:rsidRPr="007E528A" w:rsidRDefault="00DA2D3A" w:rsidP="007E528A">
      <w:pPr>
        <w:pStyle w:val="ListParagraph"/>
        <w:numPr>
          <w:ilvl w:val="0"/>
          <w:numId w:val="5"/>
        </w:numPr>
        <w:spacing w:line="360" w:lineRule="auto"/>
        <w:jc w:val="both"/>
        <w:rPr>
          <w:rFonts w:ascii="Times New Roman" w:hAnsi="Times New Roman" w:cs="Times New Roman"/>
        </w:rPr>
      </w:pPr>
      <w:r>
        <w:rPr>
          <w:rFonts w:ascii="Times New Roman" w:hAnsi="Times New Roman" w:cs="Times New Roman"/>
        </w:rPr>
        <w:t xml:space="preserve">There were further objections from the </w:t>
      </w:r>
      <w:r w:rsidR="005B6C65" w:rsidRPr="005B6C65">
        <w:rPr>
          <w:rFonts w:ascii="Times New Roman" w:hAnsi="Times New Roman" w:cs="Times New Roman"/>
        </w:rPr>
        <w:t>Bromley Civic Society</w:t>
      </w:r>
      <w:r w:rsidR="007E528A">
        <w:rPr>
          <w:rStyle w:val="FootnoteReference"/>
          <w:rFonts w:ascii="Times New Roman" w:hAnsi="Times New Roman" w:cs="Times New Roman"/>
        </w:rPr>
        <w:footnoteReference w:id="62"/>
      </w:r>
      <w:r w:rsidR="007E528A">
        <w:rPr>
          <w:rFonts w:ascii="Times New Roman" w:hAnsi="Times New Roman" w:cs="Times New Roman"/>
        </w:rPr>
        <w:t>, who said they wished “</w:t>
      </w:r>
      <w:r w:rsidR="007E528A" w:rsidRPr="007E528A">
        <w:rPr>
          <w:rFonts w:ascii="Times New Roman" w:hAnsi="Times New Roman" w:cs="Times New Roman"/>
          <w:i/>
          <w:iCs/>
        </w:rPr>
        <w:t>to object in the strongest terms to this proposal</w:t>
      </w:r>
      <w:r w:rsidR="007E528A">
        <w:rPr>
          <w:rFonts w:ascii="Times New Roman" w:hAnsi="Times New Roman" w:cs="Times New Roman"/>
        </w:rPr>
        <w:t xml:space="preserve">”, citing detriment to </w:t>
      </w:r>
      <w:r w:rsidR="007E528A" w:rsidRPr="007E528A">
        <w:rPr>
          <w:rFonts w:ascii="Times New Roman" w:hAnsi="Times New Roman" w:cs="Times New Roman"/>
        </w:rPr>
        <w:t>the High Street setting and the views from the west within the C</w:t>
      </w:r>
      <w:r w:rsidR="007E528A">
        <w:rPr>
          <w:rFonts w:ascii="Times New Roman" w:hAnsi="Times New Roman" w:cs="Times New Roman"/>
        </w:rPr>
        <w:t>onservation Area, as well as the proposal’s “</w:t>
      </w:r>
      <w:r w:rsidR="007E528A" w:rsidRPr="007E528A">
        <w:rPr>
          <w:rFonts w:ascii="Times New Roman" w:hAnsi="Times New Roman" w:cs="Times New Roman"/>
          <w:i/>
          <w:iCs/>
        </w:rPr>
        <w:t>unattractive blank face</w:t>
      </w:r>
      <w:r w:rsidR="007E528A">
        <w:rPr>
          <w:rFonts w:ascii="Times New Roman" w:hAnsi="Times New Roman" w:cs="Times New Roman"/>
        </w:rPr>
        <w:t xml:space="preserve">”. </w:t>
      </w:r>
    </w:p>
    <w:p w14:paraId="7C18867C" w14:textId="77777777" w:rsidR="007E528A" w:rsidRDefault="007E528A" w:rsidP="000609E9">
      <w:pPr>
        <w:spacing w:line="360" w:lineRule="auto"/>
        <w:jc w:val="both"/>
        <w:rPr>
          <w:rFonts w:ascii="Times New Roman" w:hAnsi="Times New Roman" w:cs="Times New Roman"/>
        </w:rPr>
      </w:pPr>
    </w:p>
    <w:p w14:paraId="715D0842" w14:textId="77777777" w:rsidR="00811ADD" w:rsidRPr="00DD35BD" w:rsidRDefault="00811ADD" w:rsidP="000609E9">
      <w:pPr>
        <w:spacing w:line="360" w:lineRule="auto"/>
        <w:jc w:val="both"/>
        <w:rPr>
          <w:rFonts w:ascii="Times New Roman" w:hAnsi="Times New Roman" w:cs="Times New Roman"/>
        </w:rPr>
      </w:pPr>
    </w:p>
    <w:p w14:paraId="5A7C4ED2" w14:textId="2E66C572" w:rsidR="004C0069" w:rsidRPr="002C23BF" w:rsidRDefault="004C0069" w:rsidP="000609E9">
      <w:pPr>
        <w:spacing w:line="360" w:lineRule="auto"/>
        <w:jc w:val="both"/>
        <w:rPr>
          <w:rFonts w:ascii="Times New Roman" w:hAnsi="Times New Roman" w:cs="Times New Roman"/>
          <w:b/>
          <w:bCs/>
          <w:u w:val="single"/>
        </w:rPr>
      </w:pPr>
      <w:r w:rsidRPr="002C23BF">
        <w:rPr>
          <w:rFonts w:ascii="Times New Roman" w:hAnsi="Times New Roman" w:cs="Times New Roman"/>
          <w:b/>
          <w:bCs/>
          <w:u w:val="single"/>
        </w:rPr>
        <w:t>Main Issue 5: Historic environment</w:t>
      </w:r>
    </w:p>
    <w:p w14:paraId="03BDC0A1" w14:textId="77777777" w:rsidR="0023467B" w:rsidRDefault="0023467B" w:rsidP="0023467B">
      <w:pPr>
        <w:pStyle w:val="ListParagraph"/>
        <w:spacing w:line="360" w:lineRule="auto"/>
        <w:jc w:val="both"/>
        <w:rPr>
          <w:rFonts w:ascii="Times New Roman" w:hAnsi="Times New Roman" w:cs="Times New Roman"/>
        </w:rPr>
      </w:pPr>
    </w:p>
    <w:p w14:paraId="417216F2" w14:textId="629B8924" w:rsidR="00084643" w:rsidRDefault="00257F16" w:rsidP="00066210">
      <w:pPr>
        <w:pStyle w:val="ListParagraph"/>
        <w:numPr>
          <w:ilvl w:val="0"/>
          <w:numId w:val="5"/>
        </w:numPr>
        <w:spacing w:line="360" w:lineRule="auto"/>
        <w:jc w:val="both"/>
        <w:rPr>
          <w:rFonts w:ascii="Times New Roman" w:hAnsi="Times New Roman" w:cs="Times New Roman"/>
        </w:rPr>
      </w:pPr>
      <w:r w:rsidRPr="00AC7A79">
        <w:rPr>
          <w:rFonts w:ascii="Times New Roman" w:hAnsi="Times New Roman" w:cs="Times New Roman"/>
        </w:rPr>
        <w:t>Dorian Crone</w:t>
      </w:r>
      <w:r w:rsidR="002C23BF" w:rsidRPr="00AC7A79">
        <w:rPr>
          <w:rFonts w:ascii="Times New Roman" w:hAnsi="Times New Roman" w:cs="Times New Roman"/>
        </w:rPr>
        <w:t xml:space="preserve"> explains</w:t>
      </w:r>
      <w:r w:rsidR="003328C8" w:rsidRPr="002C23BF">
        <w:rPr>
          <w:rStyle w:val="FootnoteReference"/>
          <w:rFonts w:ascii="Times New Roman" w:hAnsi="Times New Roman" w:cs="Times New Roman"/>
        </w:rPr>
        <w:footnoteReference w:id="63"/>
      </w:r>
      <w:r w:rsidR="002C23BF" w:rsidRPr="00AC7A79">
        <w:rPr>
          <w:rFonts w:ascii="Times New Roman" w:hAnsi="Times New Roman" w:cs="Times New Roman"/>
        </w:rPr>
        <w:t xml:space="preserve"> </w:t>
      </w:r>
      <w:r w:rsidR="003328C8" w:rsidRPr="00AC7A79">
        <w:rPr>
          <w:rFonts w:ascii="Times New Roman" w:hAnsi="Times New Roman" w:cs="Times New Roman"/>
        </w:rPr>
        <w:t xml:space="preserve">in his proof </w:t>
      </w:r>
      <w:r w:rsidR="002C23BF" w:rsidRPr="00AC7A79">
        <w:rPr>
          <w:rFonts w:ascii="Times New Roman" w:hAnsi="Times New Roman" w:cs="Times New Roman"/>
        </w:rPr>
        <w:t>that</w:t>
      </w:r>
      <w:r w:rsidRPr="00AC7A79">
        <w:rPr>
          <w:rFonts w:ascii="Times New Roman" w:hAnsi="Times New Roman" w:cs="Times New Roman"/>
        </w:rPr>
        <w:t xml:space="preserve"> </w:t>
      </w:r>
      <w:r w:rsidR="002C23BF" w:rsidRPr="00AC7A79">
        <w:rPr>
          <w:rFonts w:ascii="Times New Roman" w:hAnsi="Times New Roman" w:cs="Times New Roman"/>
        </w:rPr>
        <w:t>the setting of the Bromley Town Conservation Area “makes a positive contribution to the ability to appreciate and understand of its significance, character and appearance”, based on an appreciation of the the pedestrianised High Street as a traditional shopping street</w:t>
      </w:r>
      <w:r w:rsidR="003328C8" w:rsidRPr="00AC7A79">
        <w:rPr>
          <w:rFonts w:ascii="Times New Roman" w:hAnsi="Times New Roman" w:cs="Times New Roman"/>
        </w:rPr>
        <w:t xml:space="preserve"> and</w:t>
      </w:r>
      <w:r w:rsidR="002C23BF" w:rsidRPr="00AC7A79">
        <w:rPr>
          <w:rFonts w:ascii="Times New Roman" w:hAnsi="Times New Roman" w:cs="Times New Roman"/>
        </w:rPr>
        <w:t xml:space="preserve"> the historic semi-rural setting of the hill top town in views across the suburban townscape</w:t>
      </w:r>
      <w:r w:rsidR="003328C8" w:rsidRPr="00AC7A79">
        <w:rPr>
          <w:rFonts w:ascii="Times New Roman" w:hAnsi="Times New Roman" w:cs="Times New Roman"/>
        </w:rPr>
        <w:t xml:space="preserve">. </w:t>
      </w:r>
      <w:r w:rsidR="00234D90">
        <w:rPr>
          <w:rFonts w:ascii="Times New Roman" w:hAnsi="Times New Roman" w:cs="Times New Roman"/>
        </w:rPr>
        <w:t>He</w:t>
      </w:r>
      <w:r w:rsidR="003328C8" w:rsidRPr="00AC7A79">
        <w:rPr>
          <w:rFonts w:ascii="Times New Roman" w:hAnsi="Times New Roman" w:cs="Times New Roman"/>
        </w:rPr>
        <w:t xml:space="preserve"> goes on to conclude</w:t>
      </w:r>
      <w:r w:rsidR="003328C8">
        <w:rPr>
          <w:rStyle w:val="FootnoteReference"/>
          <w:rFonts w:ascii="Times New Roman" w:hAnsi="Times New Roman" w:cs="Times New Roman"/>
        </w:rPr>
        <w:footnoteReference w:id="64"/>
      </w:r>
      <w:r w:rsidR="003328C8" w:rsidRPr="00AC7A79">
        <w:rPr>
          <w:rFonts w:ascii="Times New Roman" w:hAnsi="Times New Roman" w:cs="Times New Roman"/>
        </w:rPr>
        <w:t xml:space="preserve"> </w:t>
      </w:r>
      <w:r w:rsidR="00AC7A79" w:rsidRPr="00AC7A79">
        <w:rPr>
          <w:rFonts w:ascii="Times New Roman" w:hAnsi="Times New Roman" w:cs="Times New Roman"/>
        </w:rPr>
        <w:t>that “</w:t>
      </w:r>
      <w:r w:rsidR="00AC7A79" w:rsidRPr="007B71B9">
        <w:rPr>
          <w:rFonts w:ascii="Times New Roman" w:hAnsi="Times New Roman" w:cs="Times New Roman"/>
          <w:i/>
          <w:iCs/>
        </w:rPr>
        <w:t>the appeal scheme would have a tangible visual impact on the setting of the Conservation Area and the ability to appreciate and understand its significance, character and appearance as experienced from the High Street and Ravensbourne Valley character areas</w:t>
      </w:r>
      <w:r w:rsidR="007B71B9" w:rsidRPr="007B71B9">
        <w:rPr>
          <w:rFonts w:ascii="Times New Roman" w:hAnsi="Times New Roman" w:cs="Times New Roman"/>
          <w:i/>
          <w:iCs/>
        </w:rPr>
        <w:t xml:space="preserve">… </w:t>
      </w:r>
      <w:r w:rsidR="00AC7A79" w:rsidRPr="007B71B9">
        <w:rPr>
          <w:rFonts w:ascii="Times New Roman" w:hAnsi="Times New Roman" w:cs="Times New Roman"/>
          <w:i/>
          <w:iCs/>
        </w:rPr>
        <w:t>I consider that the inappropriate height and scale of the appeal scheme, its massing, visual coalescence and resulting bulky appearance as experienced cumulatively with other tall buildings from the High Street, Church House Gardens and from the open spaces to the west, which is not relieved by either the topography or the design, compromises the ability to experience the character and appearance of the Conservation Area.</w:t>
      </w:r>
      <w:r w:rsidR="007B71B9" w:rsidRPr="007B71B9">
        <w:rPr>
          <w:rFonts w:ascii="Times New Roman" w:hAnsi="Times New Roman" w:cs="Times New Roman"/>
          <w:i/>
          <w:iCs/>
        </w:rPr>
        <w:t>”</w:t>
      </w:r>
    </w:p>
    <w:p w14:paraId="23420667" w14:textId="77777777" w:rsidR="002C23BF" w:rsidRPr="00D50811" w:rsidRDefault="002C23BF" w:rsidP="002C23BF">
      <w:pPr>
        <w:spacing w:line="360" w:lineRule="auto"/>
        <w:jc w:val="both"/>
        <w:rPr>
          <w:rFonts w:ascii="Times New Roman" w:hAnsi="Times New Roman" w:cs="Times New Roman"/>
        </w:rPr>
      </w:pPr>
    </w:p>
    <w:p w14:paraId="658CDDE6" w14:textId="6D8BD64F" w:rsidR="00D50811" w:rsidRDefault="00D50811" w:rsidP="00066210">
      <w:pPr>
        <w:pStyle w:val="ListParagraph"/>
        <w:numPr>
          <w:ilvl w:val="0"/>
          <w:numId w:val="5"/>
        </w:numPr>
        <w:spacing w:line="360" w:lineRule="auto"/>
        <w:jc w:val="both"/>
        <w:rPr>
          <w:rFonts w:ascii="Times New Roman" w:hAnsi="Times New Roman" w:cs="Times New Roman"/>
        </w:rPr>
      </w:pPr>
      <w:r>
        <w:rPr>
          <w:rFonts w:ascii="Times New Roman" w:hAnsi="Times New Roman" w:cs="Times New Roman"/>
        </w:rPr>
        <w:t>Dorian Crone’s view</w:t>
      </w:r>
      <w:r>
        <w:rPr>
          <w:rStyle w:val="FootnoteReference"/>
          <w:rFonts w:ascii="Times New Roman" w:hAnsi="Times New Roman" w:cs="Times New Roman"/>
        </w:rPr>
        <w:footnoteReference w:id="65"/>
      </w:r>
      <w:r>
        <w:rPr>
          <w:rFonts w:ascii="Times New Roman" w:hAnsi="Times New Roman" w:cs="Times New Roman"/>
        </w:rPr>
        <w:t xml:space="preserve"> is that the scheme would have “</w:t>
      </w:r>
      <w:r w:rsidRPr="00D50811">
        <w:rPr>
          <w:rFonts w:ascii="Times New Roman" w:hAnsi="Times New Roman" w:cs="Times New Roman"/>
          <w:i/>
          <w:iCs/>
        </w:rPr>
        <w:t>a moderate adverse effect on the setting of the Conservation Area</w:t>
      </w:r>
      <w:r>
        <w:rPr>
          <w:rFonts w:ascii="Times New Roman" w:hAnsi="Times New Roman" w:cs="Times New Roman"/>
        </w:rPr>
        <w:t>”, constituting “</w:t>
      </w:r>
      <w:r w:rsidRPr="00D50811">
        <w:rPr>
          <w:rFonts w:ascii="Times New Roman" w:hAnsi="Times New Roman" w:cs="Times New Roman"/>
          <w:i/>
          <w:iCs/>
        </w:rPr>
        <w:t>a low level of “less than substantial” harm to a designated heritage asset</w:t>
      </w:r>
      <w:r>
        <w:rPr>
          <w:rFonts w:ascii="Times New Roman" w:hAnsi="Times New Roman" w:cs="Times New Roman"/>
        </w:rPr>
        <w:t xml:space="preserve">”, and that he agrees with the relevant Reason for Refusal. </w:t>
      </w:r>
      <w:r w:rsidR="005150BB">
        <w:rPr>
          <w:rFonts w:ascii="Times New Roman" w:hAnsi="Times New Roman" w:cs="Times New Roman"/>
        </w:rPr>
        <w:t>His view was that the harm was cumulative, and represented a “</w:t>
      </w:r>
      <w:r w:rsidR="005150BB" w:rsidRPr="00A92052">
        <w:rPr>
          <w:rFonts w:ascii="Times New Roman" w:hAnsi="Times New Roman" w:cs="Times New Roman"/>
          <w:i/>
          <w:iCs/>
        </w:rPr>
        <w:t>developing wall</w:t>
      </w:r>
      <w:r w:rsidR="005150BB">
        <w:rPr>
          <w:rFonts w:ascii="Times New Roman" w:hAnsi="Times New Roman" w:cs="Times New Roman"/>
        </w:rPr>
        <w:t>” of adverse impact on the Conservation Area</w:t>
      </w:r>
      <w:r w:rsidR="004E40AE">
        <w:rPr>
          <w:rStyle w:val="FootnoteReference"/>
          <w:rFonts w:ascii="Times New Roman" w:hAnsi="Times New Roman" w:cs="Times New Roman"/>
        </w:rPr>
        <w:footnoteReference w:id="66"/>
      </w:r>
      <w:r w:rsidR="005150BB">
        <w:rPr>
          <w:rFonts w:ascii="Times New Roman" w:hAnsi="Times New Roman" w:cs="Times New Roman"/>
        </w:rPr>
        <w:t xml:space="preserve">. </w:t>
      </w:r>
      <w:r w:rsidR="004E40AE">
        <w:rPr>
          <w:rFonts w:ascii="Times New Roman" w:hAnsi="Times New Roman" w:cs="Times New Roman"/>
        </w:rPr>
        <w:t>His point was that whilst 66-70 was acceptable</w:t>
      </w:r>
      <w:r w:rsidR="00E46B16">
        <w:rPr>
          <w:rFonts w:ascii="Times New Roman" w:hAnsi="Times New Roman" w:cs="Times New Roman"/>
        </w:rPr>
        <w:t xml:space="preserve"> in heritage terms, </w:t>
      </w:r>
      <w:r w:rsidR="003B11AE">
        <w:rPr>
          <w:rFonts w:ascii="Times New Roman" w:hAnsi="Times New Roman" w:cs="Times New Roman"/>
        </w:rPr>
        <w:t>the cumulative impact of 66-70 and the appeal proposal was not.</w:t>
      </w:r>
    </w:p>
    <w:p w14:paraId="585A96F5" w14:textId="77777777" w:rsidR="004302A0" w:rsidRPr="004302A0" w:rsidRDefault="004302A0" w:rsidP="004302A0">
      <w:pPr>
        <w:pStyle w:val="ListParagraph"/>
        <w:rPr>
          <w:rFonts w:ascii="Times New Roman" w:hAnsi="Times New Roman" w:cs="Times New Roman"/>
        </w:rPr>
      </w:pPr>
    </w:p>
    <w:p w14:paraId="20E8D1FA" w14:textId="72F581AA" w:rsidR="00C87EBA" w:rsidRPr="00C87EBA" w:rsidRDefault="00C87EBA" w:rsidP="00C87EBA">
      <w:pPr>
        <w:pStyle w:val="ListParagraph"/>
        <w:numPr>
          <w:ilvl w:val="0"/>
          <w:numId w:val="5"/>
        </w:numPr>
        <w:spacing w:line="360" w:lineRule="auto"/>
        <w:jc w:val="both"/>
        <w:rPr>
          <w:rFonts w:ascii="Times New Roman" w:hAnsi="Times New Roman" w:cs="Times New Roman"/>
        </w:rPr>
      </w:pPr>
      <w:r>
        <w:rPr>
          <w:rFonts w:ascii="Times New Roman" w:hAnsi="Times New Roman" w:cs="Times New Roman"/>
        </w:rPr>
        <w:lastRenderedPageBreak/>
        <w:t>There were</w:t>
      </w:r>
      <w:r w:rsidR="00D06B69">
        <w:rPr>
          <w:rFonts w:ascii="Times New Roman" w:hAnsi="Times New Roman" w:cs="Times New Roman"/>
        </w:rPr>
        <w:t xml:space="preserve"> objections from the Bromley Civic Society</w:t>
      </w:r>
      <w:r w:rsidR="007C7A0C">
        <w:rPr>
          <w:rFonts w:ascii="Times New Roman" w:hAnsi="Times New Roman" w:cs="Times New Roman"/>
        </w:rPr>
        <w:t xml:space="preserve"> “</w:t>
      </w:r>
      <w:r w:rsidR="007C7A0C" w:rsidRPr="00465A40">
        <w:rPr>
          <w:rFonts w:ascii="Times New Roman" w:hAnsi="Times New Roman" w:cs="Times New Roman"/>
          <w:i/>
          <w:iCs/>
        </w:rPr>
        <w:t>in the strongest possible terms”</w:t>
      </w:r>
      <w:r w:rsidR="00D06B69" w:rsidRPr="00465A40">
        <w:rPr>
          <w:rStyle w:val="FootnoteReference"/>
          <w:rFonts w:ascii="Times New Roman" w:hAnsi="Times New Roman" w:cs="Times New Roman"/>
          <w:i/>
          <w:iCs/>
        </w:rPr>
        <w:footnoteReference w:id="67"/>
      </w:r>
      <w:r w:rsidR="007C7A0C" w:rsidRPr="00465A40">
        <w:rPr>
          <w:rFonts w:ascii="Times New Roman" w:hAnsi="Times New Roman" w:cs="Times New Roman"/>
          <w:i/>
          <w:iCs/>
        </w:rPr>
        <w:t>.</w:t>
      </w:r>
      <w:r w:rsidR="00D06B69" w:rsidRPr="00465A40">
        <w:rPr>
          <w:rFonts w:ascii="Times New Roman" w:hAnsi="Times New Roman" w:cs="Times New Roman"/>
          <w:i/>
          <w:iCs/>
        </w:rPr>
        <w:t xml:space="preserve"> </w:t>
      </w:r>
      <w:r>
        <w:rPr>
          <w:rFonts w:ascii="Times New Roman" w:hAnsi="Times New Roman" w:cs="Times New Roman"/>
        </w:rPr>
        <w:t xml:space="preserve">The </w:t>
      </w:r>
      <w:r w:rsidR="007C7A0C">
        <w:rPr>
          <w:rFonts w:ascii="Times New Roman" w:hAnsi="Times New Roman" w:cs="Times New Roman"/>
        </w:rPr>
        <w:t>Officer’s Report to Committee assessed the impacts on the heritage area to be “</w:t>
      </w:r>
      <w:r w:rsidR="007C7A0C" w:rsidRPr="00465A40">
        <w:rPr>
          <w:rFonts w:ascii="Times New Roman" w:hAnsi="Times New Roman" w:cs="Times New Roman"/>
          <w:i/>
          <w:iCs/>
        </w:rPr>
        <w:t>unacceptable</w:t>
      </w:r>
      <w:r w:rsidR="007C7A0C">
        <w:rPr>
          <w:rFonts w:ascii="Times New Roman" w:hAnsi="Times New Roman" w:cs="Times New Roman"/>
        </w:rPr>
        <w:t>”</w:t>
      </w:r>
      <w:r w:rsidR="007C7A0C">
        <w:rPr>
          <w:rStyle w:val="FootnoteReference"/>
          <w:rFonts w:ascii="Times New Roman" w:hAnsi="Times New Roman" w:cs="Times New Roman"/>
        </w:rPr>
        <w:footnoteReference w:id="68"/>
      </w:r>
      <w:r w:rsidR="007C7A0C">
        <w:rPr>
          <w:rFonts w:ascii="Times New Roman" w:hAnsi="Times New Roman" w:cs="Times New Roman"/>
        </w:rPr>
        <w:t>, and the Council’s</w:t>
      </w:r>
      <w:r w:rsidR="00D06B69">
        <w:rPr>
          <w:rFonts w:ascii="Times New Roman" w:hAnsi="Times New Roman" w:cs="Times New Roman"/>
        </w:rPr>
        <w:t xml:space="preserve"> Conservation Officer</w:t>
      </w:r>
      <w:r w:rsidR="00D06B69">
        <w:rPr>
          <w:rStyle w:val="FootnoteReference"/>
          <w:rFonts w:ascii="Times New Roman" w:hAnsi="Times New Roman" w:cs="Times New Roman"/>
        </w:rPr>
        <w:footnoteReference w:id="69"/>
      </w:r>
      <w:r>
        <w:rPr>
          <w:rFonts w:ascii="Times New Roman" w:hAnsi="Times New Roman" w:cs="Times New Roman"/>
        </w:rPr>
        <w:t xml:space="preserve"> </w:t>
      </w:r>
      <w:r w:rsidR="003C0BE2">
        <w:rPr>
          <w:rFonts w:ascii="Times New Roman" w:hAnsi="Times New Roman" w:cs="Times New Roman"/>
        </w:rPr>
        <w:t>explained that</w:t>
      </w:r>
      <w:r>
        <w:rPr>
          <w:rFonts w:ascii="Times New Roman" w:hAnsi="Times New Roman" w:cs="Times New Roman"/>
        </w:rPr>
        <w:t xml:space="preserve">: </w:t>
      </w:r>
    </w:p>
    <w:p w14:paraId="29E692F2" w14:textId="7147DBE8" w:rsidR="00C87EBA" w:rsidRPr="007C7A0C" w:rsidRDefault="00C87EBA" w:rsidP="007C7A0C">
      <w:pPr>
        <w:pStyle w:val="ListParagraph"/>
        <w:spacing w:line="360" w:lineRule="auto"/>
        <w:ind w:left="1440" w:right="804"/>
        <w:jc w:val="both"/>
        <w:rPr>
          <w:rFonts w:ascii="Times New Roman" w:hAnsi="Times New Roman" w:cs="Times New Roman"/>
          <w:i/>
          <w:iCs/>
        </w:rPr>
      </w:pPr>
      <w:r w:rsidRPr="00C87EBA">
        <w:rPr>
          <w:rFonts w:ascii="Times New Roman" w:hAnsi="Times New Roman" w:cs="Times New Roman"/>
          <w:i/>
          <w:iCs/>
        </w:rPr>
        <w:t>“the over-dominant scale and massing of the proposed buildings would visually overwhelm the modest market town character of the Bromley Town Centre Conservation Area</w:t>
      </w:r>
      <w:r w:rsidR="007C7A0C">
        <w:rPr>
          <w:rFonts w:ascii="Times New Roman" w:hAnsi="Times New Roman" w:cs="Times New Roman"/>
          <w:i/>
          <w:iCs/>
        </w:rPr>
        <w:t xml:space="preserve">… </w:t>
      </w:r>
      <w:r w:rsidRPr="007C7A0C">
        <w:rPr>
          <w:rFonts w:ascii="Times New Roman" w:hAnsi="Times New Roman" w:cs="Times New Roman"/>
          <w:i/>
          <w:iCs/>
        </w:rPr>
        <w:t>the proposal, alongside the existing and other emerging tall buildings in this location, including the allowed appeal scheme for the re-development at 66-70 High Street, would cause negative cumulative impact which would be against Historic England’s guidance on the setting of heritage assets</w:t>
      </w:r>
      <w:r w:rsidR="008D7AA5">
        <w:rPr>
          <w:rFonts w:ascii="Times New Roman" w:hAnsi="Times New Roman" w:cs="Times New Roman"/>
          <w:i/>
          <w:iCs/>
        </w:rPr>
        <w:t>.</w:t>
      </w:r>
      <w:r w:rsidRPr="007C7A0C">
        <w:rPr>
          <w:rFonts w:ascii="Times New Roman" w:hAnsi="Times New Roman" w:cs="Times New Roman"/>
          <w:i/>
          <w:iCs/>
        </w:rPr>
        <w:t>”</w:t>
      </w:r>
    </w:p>
    <w:p w14:paraId="528C9B05" w14:textId="77777777" w:rsidR="00C87EBA" w:rsidRPr="00C87EBA" w:rsidRDefault="00C87EBA" w:rsidP="00C87EBA">
      <w:pPr>
        <w:pStyle w:val="ListParagraph"/>
        <w:spacing w:line="360" w:lineRule="auto"/>
        <w:jc w:val="both"/>
        <w:rPr>
          <w:rFonts w:ascii="Times New Roman" w:hAnsi="Times New Roman" w:cs="Times New Roman"/>
          <w:i/>
          <w:iCs/>
        </w:rPr>
      </w:pPr>
    </w:p>
    <w:p w14:paraId="4FF5CB72" w14:textId="1E6177C4" w:rsidR="00D50811" w:rsidRPr="004302A0" w:rsidRDefault="00C87EBA" w:rsidP="00D50811">
      <w:pPr>
        <w:pStyle w:val="ListParagraph"/>
        <w:numPr>
          <w:ilvl w:val="0"/>
          <w:numId w:val="5"/>
        </w:numPr>
        <w:spacing w:line="360" w:lineRule="auto"/>
        <w:jc w:val="both"/>
        <w:rPr>
          <w:rFonts w:ascii="Times New Roman" w:hAnsi="Times New Roman" w:cs="Times New Roman"/>
        </w:rPr>
      </w:pPr>
      <w:r>
        <w:rPr>
          <w:rFonts w:ascii="Times New Roman" w:hAnsi="Times New Roman" w:cs="Times New Roman"/>
        </w:rPr>
        <w:t>T</w:t>
      </w:r>
      <w:r w:rsidR="004302A0">
        <w:rPr>
          <w:rFonts w:ascii="Times New Roman" w:hAnsi="Times New Roman" w:cs="Times New Roman"/>
        </w:rPr>
        <w:t>he GLA Phase 2 report was reviewed by Dorian Crone and its conclusions are worth setting out in full on the heritage point</w:t>
      </w:r>
      <w:r w:rsidR="004302A0">
        <w:rPr>
          <w:rStyle w:val="FootnoteReference"/>
          <w:rFonts w:ascii="Times New Roman" w:hAnsi="Times New Roman" w:cs="Times New Roman"/>
        </w:rPr>
        <w:footnoteReference w:id="70"/>
      </w:r>
      <w:r w:rsidR="004302A0">
        <w:rPr>
          <w:rFonts w:ascii="Times New Roman" w:hAnsi="Times New Roman" w:cs="Times New Roman"/>
        </w:rPr>
        <w:t>:</w:t>
      </w:r>
    </w:p>
    <w:p w14:paraId="437BAAE7" w14:textId="04029456" w:rsidR="004302A0" w:rsidRPr="004302A0" w:rsidRDefault="004302A0" w:rsidP="004302A0">
      <w:pPr>
        <w:spacing w:line="360" w:lineRule="auto"/>
        <w:ind w:left="1440" w:right="804"/>
        <w:jc w:val="both"/>
        <w:rPr>
          <w:rFonts w:ascii="Times New Roman" w:hAnsi="Times New Roman" w:cs="Times New Roman"/>
          <w:i/>
          <w:iCs/>
        </w:rPr>
      </w:pPr>
      <w:r w:rsidRPr="004302A0">
        <w:rPr>
          <w:rFonts w:ascii="Times New Roman" w:hAnsi="Times New Roman" w:cs="Times New Roman"/>
          <w:i/>
          <w:iCs/>
        </w:rPr>
        <w:t>“The harm caused to heritage assets means that the proposals are not in accordance with London Plan Policies HC1. Considerable weight and importance must be given to the harm identified. The NPPF requires the harm to designated heritage assets to be weighed against the public benefits of the proposals… The public benefits are considered to be limited, particularly taking into account the height of the proposed buildings</w:t>
      </w:r>
      <w:r>
        <w:rPr>
          <w:rFonts w:ascii="Times New Roman" w:hAnsi="Times New Roman" w:cs="Times New Roman"/>
          <w:i/>
          <w:iCs/>
        </w:rPr>
        <w:t>,</w:t>
      </w:r>
      <w:r w:rsidRPr="004302A0">
        <w:rPr>
          <w:rFonts w:ascii="Times New Roman" w:hAnsi="Times New Roman" w:cs="Times New Roman"/>
          <w:i/>
          <w:iCs/>
        </w:rPr>
        <w:t xml:space="preserve"> and would not clearly and convincingly outweigh the harm to the Conservation Area.”</w:t>
      </w:r>
    </w:p>
    <w:p w14:paraId="27AF2200" w14:textId="77777777" w:rsidR="004302A0" w:rsidRDefault="004302A0" w:rsidP="00D50811">
      <w:pPr>
        <w:spacing w:line="360" w:lineRule="auto"/>
        <w:jc w:val="both"/>
        <w:rPr>
          <w:rFonts w:ascii="Times New Roman" w:hAnsi="Times New Roman" w:cs="Times New Roman"/>
        </w:rPr>
      </w:pPr>
    </w:p>
    <w:p w14:paraId="57EC8DDD" w14:textId="30883C10" w:rsidR="0069419C" w:rsidRDefault="00D06B69" w:rsidP="00683082">
      <w:pPr>
        <w:pStyle w:val="ListParagraph"/>
        <w:numPr>
          <w:ilvl w:val="0"/>
          <w:numId w:val="5"/>
        </w:numPr>
        <w:spacing w:line="360" w:lineRule="auto"/>
        <w:jc w:val="both"/>
        <w:rPr>
          <w:rFonts w:ascii="Times New Roman" w:hAnsi="Times New Roman" w:cs="Times New Roman"/>
        </w:rPr>
      </w:pPr>
      <w:r>
        <w:rPr>
          <w:rFonts w:ascii="Times New Roman" w:hAnsi="Times New Roman" w:cs="Times New Roman"/>
        </w:rPr>
        <w:t>We invite the Inspector to prefer these conclusions.</w:t>
      </w:r>
      <w:r w:rsidR="00683082">
        <w:rPr>
          <w:rFonts w:ascii="Times New Roman" w:hAnsi="Times New Roman" w:cs="Times New Roman"/>
        </w:rPr>
        <w:t xml:space="preserve"> </w:t>
      </w:r>
      <w:r w:rsidR="00CE55F8">
        <w:rPr>
          <w:rFonts w:ascii="Times New Roman" w:hAnsi="Times New Roman" w:cs="Times New Roman"/>
        </w:rPr>
        <w:t xml:space="preserve">It is the Council’s case that there is </w:t>
      </w:r>
      <w:r w:rsidR="005F4EEE">
        <w:rPr>
          <w:rFonts w:ascii="Times New Roman" w:hAnsi="Times New Roman" w:cs="Times New Roman"/>
        </w:rPr>
        <w:t>cumulative</w:t>
      </w:r>
      <w:r w:rsidR="00CE55F8">
        <w:rPr>
          <w:rFonts w:ascii="Times New Roman" w:hAnsi="Times New Roman" w:cs="Times New Roman"/>
        </w:rPr>
        <w:t xml:space="preserve"> harm, by virtue of the addition of two tall towers on the edge of the Conservation Area.</w:t>
      </w:r>
      <w:r w:rsidR="00A92052">
        <w:rPr>
          <w:rFonts w:ascii="Times New Roman" w:hAnsi="Times New Roman" w:cs="Times New Roman"/>
        </w:rPr>
        <w:t xml:space="preserve"> </w:t>
      </w:r>
      <w:r w:rsidR="0069419C">
        <w:rPr>
          <w:rFonts w:ascii="Times New Roman" w:hAnsi="Times New Roman" w:cs="Times New Roman"/>
        </w:rPr>
        <w:t xml:space="preserve">It is difficult to see how </w:t>
      </w:r>
      <w:r w:rsidR="00471449">
        <w:rPr>
          <w:rFonts w:ascii="Times New Roman" w:hAnsi="Times New Roman" w:cs="Times New Roman"/>
        </w:rPr>
        <w:t xml:space="preserve">the opinion of </w:t>
      </w:r>
      <w:r w:rsidR="0069419C">
        <w:rPr>
          <w:rFonts w:ascii="Times New Roman" w:hAnsi="Times New Roman" w:cs="Times New Roman"/>
        </w:rPr>
        <w:t xml:space="preserve">Dorian Crone, an extremely well qualified witness, </w:t>
      </w:r>
      <w:r w:rsidR="006E5949">
        <w:rPr>
          <w:rFonts w:ascii="Times New Roman" w:hAnsi="Times New Roman" w:cs="Times New Roman"/>
        </w:rPr>
        <w:t>and th</w:t>
      </w:r>
      <w:r w:rsidR="00471449">
        <w:rPr>
          <w:rFonts w:ascii="Times New Roman" w:hAnsi="Times New Roman" w:cs="Times New Roman"/>
        </w:rPr>
        <w:t>e opinions of those</w:t>
      </w:r>
      <w:r w:rsidR="006E5949">
        <w:rPr>
          <w:rFonts w:ascii="Times New Roman" w:hAnsi="Times New Roman" w:cs="Times New Roman"/>
        </w:rPr>
        <w:t xml:space="preserve"> eminent bodies</w:t>
      </w:r>
      <w:r w:rsidR="00B46DC8">
        <w:rPr>
          <w:rFonts w:ascii="Times New Roman" w:hAnsi="Times New Roman" w:cs="Times New Roman"/>
        </w:rPr>
        <w:t>,</w:t>
      </w:r>
      <w:r w:rsidR="006E5949">
        <w:rPr>
          <w:rFonts w:ascii="Times New Roman" w:hAnsi="Times New Roman" w:cs="Times New Roman"/>
        </w:rPr>
        <w:t xml:space="preserve"> </w:t>
      </w:r>
      <w:r w:rsidR="00471449">
        <w:rPr>
          <w:rFonts w:ascii="Times New Roman" w:hAnsi="Times New Roman" w:cs="Times New Roman"/>
        </w:rPr>
        <w:t xml:space="preserve">could be written off as </w:t>
      </w:r>
      <w:r w:rsidR="00156BAE">
        <w:rPr>
          <w:rFonts w:ascii="Times New Roman" w:hAnsi="Times New Roman" w:cs="Times New Roman"/>
        </w:rPr>
        <w:t>“</w:t>
      </w:r>
      <w:r w:rsidR="00471449" w:rsidRPr="00156BAE">
        <w:rPr>
          <w:rFonts w:ascii="Times New Roman" w:hAnsi="Times New Roman" w:cs="Times New Roman"/>
          <w:i/>
          <w:iCs/>
        </w:rPr>
        <w:t>ludicrous</w:t>
      </w:r>
      <w:r w:rsidR="00156BAE">
        <w:rPr>
          <w:rFonts w:ascii="Times New Roman" w:hAnsi="Times New Roman" w:cs="Times New Roman"/>
          <w:i/>
          <w:iCs/>
        </w:rPr>
        <w:t>”</w:t>
      </w:r>
      <w:r w:rsidR="00471449">
        <w:rPr>
          <w:rFonts w:ascii="Times New Roman" w:hAnsi="Times New Roman" w:cs="Times New Roman"/>
        </w:rPr>
        <w:t xml:space="preserve">, </w:t>
      </w:r>
      <w:r w:rsidR="00B46DC8">
        <w:rPr>
          <w:rFonts w:ascii="Times New Roman" w:hAnsi="Times New Roman" w:cs="Times New Roman"/>
        </w:rPr>
        <w:t xml:space="preserve">as they were by </w:t>
      </w:r>
      <w:proofErr w:type="spellStart"/>
      <w:r w:rsidR="00B46DC8">
        <w:rPr>
          <w:rFonts w:ascii="Times New Roman" w:hAnsi="Times New Roman" w:cs="Times New Roman"/>
        </w:rPr>
        <w:t>Ignus</w:t>
      </w:r>
      <w:proofErr w:type="spellEnd"/>
      <w:r w:rsidR="00B46DC8">
        <w:rPr>
          <w:rFonts w:ascii="Times New Roman" w:hAnsi="Times New Roman" w:cs="Times New Roman"/>
        </w:rPr>
        <w:t xml:space="preserve"> </w:t>
      </w:r>
      <w:proofErr w:type="spellStart"/>
      <w:r w:rsidR="00B46DC8">
        <w:rPr>
          <w:rFonts w:ascii="Times New Roman" w:hAnsi="Times New Roman" w:cs="Times New Roman"/>
        </w:rPr>
        <w:t>Froneman</w:t>
      </w:r>
      <w:proofErr w:type="spellEnd"/>
      <w:r w:rsidR="00B46DC8">
        <w:rPr>
          <w:rFonts w:ascii="Times New Roman" w:hAnsi="Times New Roman" w:cs="Times New Roman"/>
        </w:rPr>
        <w:t xml:space="preserve">, </w:t>
      </w:r>
      <w:r w:rsidR="00471449">
        <w:rPr>
          <w:rFonts w:ascii="Times New Roman" w:hAnsi="Times New Roman" w:cs="Times New Roman"/>
        </w:rPr>
        <w:t>but the Inspector will draw his own conclusions.</w:t>
      </w:r>
      <w:r w:rsidR="00087398">
        <w:rPr>
          <w:rFonts w:ascii="Times New Roman" w:hAnsi="Times New Roman" w:cs="Times New Roman"/>
        </w:rPr>
        <w:t xml:space="preserve"> I</w:t>
      </w:r>
      <w:r w:rsidR="00087398" w:rsidRPr="0069419C">
        <w:rPr>
          <w:rFonts w:ascii="Times New Roman" w:hAnsi="Times New Roman" w:cs="Times New Roman"/>
        </w:rPr>
        <w:t xml:space="preserve">t is clear from Dorian Crone’s figure 14b by way of example, that </w:t>
      </w:r>
      <w:r w:rsidR="00087398">
        <w:rPr>
          <w:rFonts w:ascii="Times New Roman" w:hAnsi="Times New Roman" w:cs="Times New Roman"/>
        </w:rPr>
        <w:t>this</w:t>
      </w:r>
      <w:r w:rsidR="00087398" w:rsidRPr="0069419C">
        <w:rPr>
          <w:rFonts w:ascii="Times New Roman" w:hAnsi="Times New Roman" w:cs="Times New Roman"/>
        </w:rPr>
        <w:t xml:space="preserve"> was a </w:t>
      </w:r>
      <w:r w:rsidR="00087398">
        <w:rPr>
          <w:rFonts w:ascii="Times New Roman" w:hAnsi="Times New Roman" w:cs="Times New Roman"/>
        </w:rPr>
        <w:t>reasonable and measured</w:t>
      </w:r>
      <w:r w:rsidR="00087398" w:rsidRPr="0069419C">
        <w:rPr>
          <w:rFonts w:ascii="Times New Roman" w:hAnsi="Times New Roman" w:cs="Times New Roman"/>
        </w:rPr>
        <w:t xml:space="preserve"> position.</w:t>
      </w:r>
      <w:r w:rsidR="00471449">
        <w:rPr>
          <w:rFonts w:ascii="Times New Roman" w:hAnsi="Times New Roman" w:cs="Times New Roman"/>
        </w:rPr>
        <w:t xml:space="preserve"> </w:t>
      </w:r>
      <w:proofErr w:type="spellStart"/>
      <w:r w:rsidR="00471449">
        <w:rPr>
          <w:rFonts w:ascii="Times New Roman" w:hAnsi="Times New Roman" w:cs="Times New Roman"/>
        </w:rPr>
        <w:t>Ignus</w:t>
      </w:r>
      <w:proofErr w:type="spellEnd"/>
      <w:r w:rsidR="00471449">
        <w:rPr>
          <w:rFonts w:ascii="Times New Roman" w:hAnsi="Times New Roman" w:cs="Times New Roman"/>
        </w:rPr>
        <w:t xml:space="preserve"> </w:t>
      </w:r>
      <w:proofErr w:type="spellStart"/>
      <w:r w:rsidR="00471449">
        <w:rPr>
          <w:rFonts w:ascii="Times New Roman" w:hAnsi="Times New Roman" w:cs="Times New Roman"/>
        </w:rPr>
        <w:t>Froneman</w:t>
      </w:r>
      <w:proofErr w:type="spellEnd"/>
      <w:r w:rsidR="00471449">
        <w:rPr>
          <w:rFonts w:ascii="Times New Roman" w:hAnsi="Times New Roman" w:cs="Times New Roman"/>
        </w:rPr>
        <w:t xml:space="preserve"> </w:t>
      </w:r>
      <w:r w:rsidR="00156BAE">
        <w:rPr>
          <w:rFonts w:ascii="Times New Roman" w:hAnsi="Times New Roman" w:cs="Times New Roman"/>
        </w:rPr>
        <w:t>relied</w:t>
      </w:r>
      <w:r w:rsidR="00471449">
        <w:rPr>
          <w:rFonts w:ascii="Times New Roman" w:hAnsi="Times New Roman" w:cs="Times New Roman"/>
        </w:rPr>
        <w:t xml:space="preserve"> </w:t>
      </w:r>
      <w:r w:rsidR="00156BAE">
        <w:rPr>
          <w:rFonts w:ascii="Times New Roman" w:hAnsi="Times New Roman" w:cs="Times New Roman"/>
        </w:rPr>
        <w:t>on</w:t>
      </w:r>
      <w:r w:rsidR="00471449">
        <w:rPr>
          <w:rFonts w:ascii="Times New Roman" w:hAnsi="Times New Roman" w:cs="Times New Roman"/>
        </w:rPr>
        <w:t xml:space="preserve"> the Watford decision</w:t>
      </w:r>
      <w:r w:rsidR="00156BAE">
        <w:rPr>
          <w:rFonts w:ascii="Times New Roman" w:hAnsi="Times New Roman" w:cs="Times New Roman"/>
        </w:rPr>
        <w:t xml:space="preserve">, but he then </w:t>
      </w:r>
      <w:r w:rsidR="00471449">
        <w:rPr>
          <w:rFonts w:ascii="Times New Roman" w:hAnsi="Times New Roman" w:cs="Times New Roman"/>
        </w:rPr>
        <w:t xml:space="preserve">accepted in cross examination </w:t>
      </w:r>
      <w:r w:rsidR="00156BAE">
        <w:rPr>
          <w:rFonts w:ascii="Times New Roman" w:hAnsi="Times New Roman" w:cs="Times New Roman"/>
        </w:rPr>
        <w:t>that it was in fact</w:t>
      </w:r>
      <w:r w:rsidR="00471449">
        <w:rPr>
          <w:rFonts w:ascii="Times New Roman" w:hAnsi="Times New Roman" w:cs="Times New Roman"/>
        </w:rPr>
        <w:t xml:space="preserve"> </w:t>
      </w:r>
      <w:r w:rsidR="0086006E">
        <w:rPr>
          <w:rFonts w:ascii="Times New Roman" w:hAnsi="Times New Roman" w:cs="Times New Roman"/>
        </w:rPr>
        <w:t>very</w:t>
      </w:r>
      <w:r w:rsidR="00471449">
        <w:rPr>
          <w:rFonts w:ascii="Times New Roman" w:hAnsi="Times New Roman" w:cs="Times New Roman"/>
        </w:rPr>
        <w:t xml:space="preserve"> different.</w:t>
      </w:r>
      <w:r w:rsidR="00471449" w:rsidRPr="00471449">
        <w:rPr>
          <w:rFonts w:ascii="Times New Roman" w:hAnsi="Times New Roman" w:cs="Times New Roman"/>
        </w:rPr>
        <w:t xml:space="preserve"> </w:t>
      </w:r>
      <w:r w:rsidR="00471449">
        <w:rPr>
          <w:rFonts w:ascii="Times New Roman" w:hAnsi="Times New Roman" w:cs="Times New Roman"/>
        </w:rPr>
        <w:lastRenderedPageBreak/>
        <w:t>For all these reasons, we a</w:t>
      </w:r>
      <w:r w:rsidR="00471449" w:rsidRPr="0069419C">
        <w:rPr>
          <w:rFonts w:ascii="Times New Roman" w:hAnsi="Times New Roman" w:cs="Times New Roman"/>
        </w:rPr>
        <w:t>sk the Inspector to give less than substantial weight to the heritage harm and prefer the evidence of Dorian Crone</w:t>
      </w:r>
      <w:r w:rsidR="00471449">
        <w:rPr>
          <w:rFonts w:ascii="Times New Roman" w:hAnsi="Times New Roman" w:cs="Times New Roman"/>
        </w:rPr>
        <w:t>.</w:t>
      </w:r>
    </w:p>
    <w:p w14:paraId="55B75CAC" w14:textId="77777777" w:rsidR="00CF0A09" w:rsidRDefault="00CF0A09" w:rsidP="002C23BF">
      <w:pPr>
        <w:spacing w:line="360" w:lineRule="auto"/>
        <w:jc w:val="both"/>
        <w:rPr>
          <w:rFonts w:ascii="Times New Roman" w:hAnsi="Times New Roman" w:cs="Times New Roman"/>
          <w:b/>
          <w:bCs/>
          <w:u w:val="single"/>
        </w:rPr>
      </w:pPr>
    </w:p>
    <w:p w14:paraId="054E6C1C" w14:textId="77777777" w:rsidR="00CF0A09" w:rsidRDefault="00CF0A09" w:rsidP="002C23BF">
      <w:pPr>
        <w:spacing w:line="360" w:lineRule="auto"/>
        <w:jc w:val="both"/>
        <w:rPr>
          <w:rFonts w:ascii="Times New Roman" w:hAnsi="Times New Roman" w:cs="Times New Roman"/>
          <w:b/>
          <w:bCs/>
          <w:u w:val="single"/>
        </w:rPr>
      </w:pPr>
    </w:p>
    <w:p w14:paraId="18281CE0" w14:textId="77777777" w:rsidR="00CF0A09" w:rsidRDefault="00CF0A09" w:rsidP="002C23BF">
      <w:pPr>
        <w:spacing w:line="360" w:lineRule="auto"/>
        <w:jc w:val="both"/>
        <w:rPr>
          <w:rFonts w:ascii="Times New Roman" w:hAnsi="Times New Roman" w:cs="Times New Roman"/>
          <w:b/>
          <w:bCs/>
          <w:u w:val="single"/>
        </w:rPr>
      </w:pPr>
    </w:p>
    <w:p w14:paraId="12196511" w14:textId="55E86EE7" w:rsidR="004C0069" w:rsidRPr="002C23BF" w:rsidRDefault="004C0069" w:rsidP="002C23BF">
      <w:pPr>
        <w:spacing w:line="360" w:lineRule="auto"/>
        <w:jc w:val="both"/>
        <w:rPr>
          <w:rFonts w:ascii="Times New Roman" w:hAnsi="Times New Roman" w:cs="Times New Roman"/>
          <w:b/>
          <w:bCs/>
          <w:u w:val="single"/>
        </w:rPr>
      </w:pPr>
      <w:r w:rsidRPr="002C23BF">
        <w:rPr>
          <w:rFonts w:ascii="Times New Roman" w:hAnsi="Times New Roman" w:cs="Times New Roman"/>
          <w:b/>
          <w:bCs/>
          <w:u w:val="single"/>
        </w:rPr>
        <w:t>Main Issue 6: Assessment of Planning Balance</w:t>
      </w:r>
    </w:p>
    <w:p w14:paraId="73470448" w14:textId="77777777" w:rsidR="004C0069" w:rsidRPr="00DD35BD" w:rsidRDefault="004C0069" w:rsidP="000609E9">
      <w:pPr>
        <w:spacing w:line="360" w:lineRule="auto"/>
        <w:jc w:val="both"/>
        <w:rPr>
          <w:rFonts w:ascii="Times New Roman" w:hAnsi="Times New Roman" w:cs="Times New Roman"/>
        </w:rPr>
      </w:pPr>
    </w:p>
    <w:p w14:paraId="726C2CEC" w14:textId="32C8D916" w:rsidR="00BF1554" w:rsidRPr="008C6573" w:rsidRDefault="00031F1C" w:rsidP="008C6573">
      <w:pPr>
        <w:pStyle w:val="ListParagraph"/>
        <w:numPr>
          <w:ilvl w:val="0"/>
          <w:numId w:val="5"/>
        </w:numPr>
        <w:spacing w:line="360" w:lineRule="auto"/>
        <w:jc w:val="both"/>
        <w:rPr>
          <w:rFonts w:ascii="Times New Roman" w:hAnsi="Times New Roman" w:cs="Times New Roman"/>
        </w:rPr>
      </w:pPr>
      <w:r>
        <w:rPr>
          <w:rFonts w:ascii="Times New Roman" w:hAnsi="Times New Roman" w:cs="Times New Roman"/>
        </w:rPr>
        <w:t xml:space="preserve">Karen Daye assessed the weight to be given to the factors in this appeal. </w:t>
      </w:r>
      <w:r w:rsidR="00766143">
        <w:rPr>
          <w:rFonts w:ascii="Times New Roman" w:hAnsi="Times New Roman" w:cs="Times New Roman"/>
        </w:rPr>
        <w:t xml:space="preserve">We invite the Inspector to adopt </w:t>
      </w:r>
      <w:r>
        <w:rPr>
          <w:rFonts w:ascii="Times New Roman" w:hAnsi="Times New Roman" w:cs="Times New Roman"/>
        </w:rPr>
        <w:t>her</w:t>
      </w:r>
      <w:r w:rsidR="00766143">
        <w:rPr>
          <w:rFonts w:ascii="Times New Roman" w:hAnsi="Times New Roman" w:cs="Times New Roman"/>
        </w:rPr>
        <w:t xml:space="preserve"> weighting s</w:t>
      </w:r>
      <w:r w:rsidR="00A551A7">
        <w:rPr>
          <w:rFonts w:ascii="Times New Roman" w:hAnsi="Times New Roman" w:cs="Times New Roman"/>
        </w:rPr>
        <w:t>cale</w:t>
      </w:r>
      <w:r w:rsidR="006D1391">
        <w:rPr>
          <w:rStyle w:val="FootnoteReference"/>
          <w:rFonts w:ascii="Times New Roman" w:hAnsi="Times New Roman" w:cs="Times New Roman"/>
        </w:rPr>
        <w:footnoteReference w:id="71"/>
      </w:r>
      <w:r w:rsidR="00A551A7">
        <w:rPr>
          <w:rFonts w:ascii="Times New Roman" w:hAnsi="Times New Roman" w:cs="Times New Roman"/>
        </w:rPr>
        <w:t xml:space="preserve"> of </w:t>
      </w:r>
      <w:r w:rsidR="00A551A7" w:rsidRPr="00A551A7">
        <w:rPr>
          <w:rFonts w:ascii="Times New Roman" w:hAnsi="Times New Roman" w:cs="Times New Roman"/>
        </w:rPr>
        <w:t>Substantial / Significant</w:t>
      </w:r>
      <w:r w:rsidR="00A551A7">
        <w:rPr>
          <w:rFonts w:ascii="Times New Roman" w:hAnsi="Times New Roman" w:cs="Times New Roman"/>
        </w:rPr>
        <w:t xml:space="preserve">; </w:t>
      </w:r>
      <w:r w:rsidR="00A551A7" w:rsidRPr="00A551A7">
        <w:rPr>
          <w:rFonts w:ascii="Times New Roman" w:hAnsi="Times New Roman" w:cs="Times New Roman"/>
        </w:rPr>
        <w:t>Moderate</w:t>
      </w:r>
      <w:r w:rsidR="00A551A7">
        <w:rPr>
          <w:rFonts w:ascii="Times New Roman" w:hAnsi="Times New Roman" w:cs="Times New Roman"/>
        </w:rPr>
        <w:t xml:space="preserve">; </w:t>
      </w:r>
      <w:r w:rsidR="00A551A7" w:rsidRPr="00A551A7">
        <w:rPr>
          <w:rFonts w:ascii="Times New Roman" w:hAnsi="Times New Roman" w:cs="Times New Roman"/>
        </w:rPr>
        <w:t>Limited</w:t>
      </w:r>
      <w:r w:rsidR="00A551A7">
        <w:rPr>
          <w:rFonts w:ascii="Times New Roman" w:hAnsi="Times New Roman" w:cs="Times New Roman"/>
        </w:rPr>
        <w:t xml:space="preserve">; and </w:t>
      </w:r>
      <w:r w:rsidR="00A551A7" w:rsidRPr="00A551A7">
        <w:rPr>
          <w:rFonts w:ascii="Times New Roman" w:hAnsi="Times New Roman" w:cs="Times New Roman"/>
        </w:rPr>
        <w:t>Neutral</w:t>
      </w:r>
      <w:r w:rsidR="00A551A7">
        <w:rPr>
          <w:rFonts w:ascii="Times New Roman" w:hAnsi="Times New Roman" w:cs="Times New Roman"/>
        </w:rPr>
        <w:t>.</w:t>
      </w:r>
      <w:r>
        <w:rPr>
          <w:rFonts w:ascii="Times New Roman" w:hAnsi="Times New Roman" w:cs="Times New Roman"/>
        </w:rPr>
        <w:t xml:space="preserve"> </w:t>
      </w:r>
      <w:r w:rsidR="004C7346">
        <w:rPr>
          <w:rFonts w:ascii="Times New Roman" w:hAnsi="Times New Roman" w:cs="Times New Roman"/>
        </w:rPr>
        <w:t xml:space="preserve">Substantial weight was accepted by both </w:t>
      </w:r>
      <w:r w:rsidR="004C7346" w:rsidRPr="008C6573">
        <w:rPr>
          <w:rFonts w:ascii="Times New Roman" w:hAnsi="Times New Roman" w:cs="Times New Roman"/>
        </w:rPr>
        <w:t xml:space="preserve">Karen Daye </w:t>
      </w:r>
      <w:r w:rsidR="004C7346">
        <w:rPr>
          <w:rFonts w:ascii="Times New Roman" w:hAnsi="Times New Roman" w:cs="Times New Roman"/>
        </w:rPr>
        <w:t>and Mark Batchelor in cross examination as the highest in the scale of weight. Karen Daye’s</w:t>
      </w:r>
      <w:r>
        <w:rPr>
          <w:rFonts w:ascii="Times New Roman" w:hAnsi="Times New Roman" w:cs="Times New Roman"/>
        </w:rPr>
        <w:t xml:space="preserve"> assessment is </w:t>
      </w:r>
      <w:r w:rsidR="003B05B6">
        <w:rPr>
          <w:rFonts w:ascii="Times New Roman" w:hAnsi="Times New Roman" w:cs="Times New Roman"/>
        </w:rPr>
        <w:t xml:space="preserve">her </w:t>
      </w:r>
      <w:r>
        <w:rPr>
          <w:rFonts w:ascii="Times New Roman" w:hAnsi="Times New Roman" w:cs="Times New Roman"/>
        </w:rPr>
        <w:t>own view</w:t>
      </w:r>
      <w:r w:rsidR="003B05B6">
        <w:rPr>
          <w:rFonts w:ascii="Times New Roman" w:hAnsi="Times New Roman" w:cs="Times New Roman"/>
        </w:rPr>
        <w:t xml:space="preserve"> </w:t>
      </w:r>
      <w:r w:rsidR="00DA14CC">
        <w:rPr>
          <w:rFonts w:ascii="Times New Roman" w:hAnsi="Times New Roman" w:cs="Times New Roman"/>
        </w:rPr>
        <w:t>and is informed by</w:t>
      </w:r>
      <w:r w:rsidR="003B05B6">
        <w:rPr>
          <w:rFonts w:ascii="Times New Roman" w:hAnsi="Times New Roman" w:cs="Times New Roman"/>
        </w:rPr>
        <w:t xml:space="preserve"> the</w:t>
      </w:r>
      <w:r w:rsidR="00DA14CC">
        <w:rPr>
          <w:rFonts w:ascii="Times New Roman" w:hAnsi="Times New Roman" w:cs="Times New Roman"/>
        </w:rPr>
        <w:t xml:space="preserve"> evidence of the</w:t>
      </w:r>
      <w:r w:rsidR="003B05B6">
        <w:rPr>
          <w:rFonts w:ascii="Times New Roman" w:hAnsi="Times New Roman" w:cs="Times New Roman"/>
        </w:rPr>
        <w:t xml:space="preserve"> Council’s expert witnesses</w:t>
      </w:r>
      <w:r w:rsidR="00DA14CC">
        <w:rPr>
          <w:rFonts w:ascii="Times New Roman" w:hAnsi="Times New Roman" w:cs="Times New Roman"/>
        </w:rPr>
        <w:t xml:space="preserve"> where relevant</w:t>
      </w:r>
      <w:r w:rsidR="003B05B6">
        <w:rPr>
          <w:rFonts w:ascii="Times New Roman" w:hAnsi="Times New Roman" w:cs="Times New Roman"/>
        </w:rPr>
        <w:t>.</w:t>
      </w:r>
      <w:r w:rsidR="004C7346">
        <w:rPr>
          <w:rFonts w:ascii="Times New Roman" w:hAnsi="Times New Roman" w:cs="Times New Roman"/>
        </w:rPr>
        <w:t xml:space="preserve"> </w:t>
      </w:r>
      <w:r w:rsidR="00AE3146">
        <w:rPr>
          <w:rFonts w:ascii="Times New Roman" w:hAnsi="Times New Roman" w:cs="Times New Roman"/>
        </w:rPr>
        <w:t xml:space="preserve">She </w:t>
      </w:r>
      <w:r w:rsidR="007A3E8D">
        <w:rPr>
          <w:rFonts w:ascii="Times New Roman" w:hAnsi="Times New Roman" w:cs="Times New Roman"/>
        </w:rPr>
        <w:t>set out in her proof</w:t>
      </w:r>
      <w:r w:rsidR="00C63E02" w:rsidRPr="008C6573">
        <w:rPr>
          <w:rFonts w:ascii="Times New Roman" w:hAnsi="Times New Roman" w:cs="Times New Roman"/>
        </w:rPr>
        <w:t xml:space="preserve"> </w:t>
      </w:r>
      <w:r w:rsidR="008C6573">
        <w:rPr>
          <w:rFonts w:ascii="Times New Roman" w:hAnsi="Times New Roman" w:cs="Times New Roman"/>
        </w:rPr>
        <w:t xml:space="preserve">her opinion </w:t>
      </w:r>
      <w:r w:rsidR="00C63E02" w:rsidRPr="008C6573">
        <w:rPr>
          <w:rFonts w:ascii="Times New Roman" w:hAnsi="Times New Roman" w:cs="Times New Roman"/>
        </w:rPr>
        <w:t xml:space="preserve">on </w:t>
      </w:r>
      <w:r w:rsidR="008C6573">
        <w:rPr>
          <w:rFonts w:ascii="Times New Roman" w:hAnsi="Times New Roman" w:cs="Times New Roman"/>
        </w:rPr>
        <w:t>the</w:t>
      </w:r>
      <w:r w:rsidR="00A11DE6" w:rsidRPr="008C6573">
        <w:rPr>
          <w:rFonts w:ascii="Times New Roman" w:hAnsi="Times New Roman" w:cs="Times New Roman"/>
        </w:rPr>
        <w:t xml:space="preserve"> </w:t>
      </w:r>
      <w:r w:rsidR="009B050F" w:rsidRPr="008C6573">
        <w:rPr>
          <w:rFonts w:ascii="Times New Roman" w:hAnsi="Times New Roman" w:cs="Times New Roman"/>
        </w:rPr>
        <w:t xml:space="preserve">planning </w:t>
      </w:r>
      <w:r w:rsidR="00BF1554" w:rsidRPr="008C6573">
        <w:rPr>
          <w:rFonts w:ascii="Times New Roman" w:hAnsi="Times New Roman" w:cs="Times New Roman"/>
        </w:rPr>
        <w:t>benefits</w:t>
      </w:r>
      <w:r w:rsidR="00A11DE6">
        <w:rPr>
          <w:rStyle w:val="FootnoteReference"/>
          <w:rFonts w:ascii="Times New Roman" w:hAnsi="Times New Roman" w:cs="Times New Roman"/>
        </w:rPr>
        <w:footnoteReference w:id="72"/>
      </w:r>
      <w:r w:rsidR="00BF1554" w:rsidRPr="008C6573">
        <w:rPr>
          <w:rFonts w:ascii="Times New Roman" w:hAnsi="Times New Roman" w:cs="Times New Roman"/>
        </w:rPr>
        <w:t xml:space="preserve"> </w:t>
      </w:r>
      <w:r w:rsidR="008C6573">
        <w:rPr>
          <w:rFonts w:ascii="Times New Roman" w:hAnsi="Times New Roman" w:cs="Times New Roman"/>
        </w:rPr>
        <w:t>of the appeal proposal</w:t>
      </w:r>
      <w:r w:rsidR="00BF1554" w:rsidRPr="008C6573">
        <w:rPr>
          <w:rFonts w:ascii="Times New Roman" w:hAnsi="Times New Roman" w:cs="Times New Roman"/>
        </w:rPr>
        <w:t>:</w:t>
      </w:r>
    </w:p>
    <w:p w14:paraId="3B045358" w14:textId="77777777" w:rsidR="00BF1554" w:rsidRDefault="00BF1554" w:rsidP="00C63E02">
      <w:pPr>
        <w:pStyle w:val="ListParagraph"/>
        <w:spacing w:line="360" w:lineRule="auto"/>
        <w:ind w:left="1440"/>
        <w:jc w:val="both"/>
        <w:rPr>
          <w:rFonts w:ascii="Times New Roman" w:hAnsi="Times New Roman" w:cs="Times New Roman"/>
        </w:rPr>
      </w:pPr>
    </w:p>
    <w:p w14:paraId="570A8F0A" w14:textId="1499D934" w:rsidR="00C63E02" w:rsidRPr="00C63E02" w:rsidRDefault="00C63E02" w:rsidP="00C63E02">
      <w:pPr>
        <w:pStyle w:val="ListParagraph"/>
        <w:spacing w:line="360" w:lineRule="auto"/>
        <w:ind w:left="1440"/>
        <w:jc w:val="both"/>
        <w:rPr>
          <w:rFonts w:ascii="Times New Roman" w:hAnsi="Times New Roman" w:cs="Times New Roman"/>
          <w:u w:val="single"/>
        </w:rPr>
      </w:pPr>
      <w:r w:rsidRPr="00C63E02">
        <w:rPr>
          <w:rFonts w:ascii="Times New Roman" w:hAnsi="Times New Roman" w:cs="Times New Roman"/>
          <w:u w:val="single"/>
        </w:rPr>
        <w:t>7.5 Planning Benefits</w:t>
      </w:r>
    </w:p>
    <w:p w14:paraId="55572666" w14:textId="77777777" w:rsidR="00C63E02" w:rsidRDefault="00C63E02" w:rsidP="00BF1554">
      <w:pPr>
        <w:pStyle w:val="ListParagraph"/>
        <w:spacing w:line="360" w:lineRule="auto"/>
        <w:jc w:val="both"/>
        <w:rPr>
          <w:rFonts w:ascii="Times New Roman" w:hAnsi="Times New Roman" w:cs="Times New Roman"/>
        </w:rPr>
      </w:pPr>
    </w:p>
    <w:p w14:paraId="09FB61EC" w14:textId="77777777" w:rsidR="00BF1554" w:rsidRDefault="00BF1554" w:rsidP="00A25D75">
      <w:pPr>
        <w:pStyle w:val="ListParagraph"/>
        <w:spacing w:line="360" w:lineRule="auto"/>
        <w:ind w:left="1440" w:right="804"/>
        <w:jc w:val="both"/>
        <w:rPr>
          <w:rFonts w:ascii="Times New Roman" w:hAnsi="Times New Roman" w:cs="Times New Roman"/>
          <w:i/>
          <w:iCs/>
        </w:rPr>
      </w:pPr>
      <w:r w:rsidRPr="00BF1554">
        <w:rPr>
          <w:rFonts w:ascii="Times New Roman" w:hAnsi="Times New Roman" w:cs="Times New Roman"/>
          <w:i/>
          <w:iCs/>
        </w:rPr>
        <w:t xml:space="preserve">- the net gain delivery of 88 additional homes makes a substantial contribution to housing supply in the Borough to which I attribute </w:t>
      </w:r>
      <w:r w:rsidRPr="00C63E02">
        <w:rPr>
          <w:rFonts w:ascii="Times New Roman" w:hAnsi="Times New Roman" w:cs="Times New Roman"/>
          <w:b/>
          <w:bCs/>
          <w:i/>
          <w:iCs/>
        </w:rPr>
        <w:t>very substantial weight</w:t>
      </w:r>
    </w:p>
    <w:p w14:paraId="3BB0B051" w14:textId="77777777" w:rsidR="00A25D75" w:rsidRPr="00BF1554" w:rsidRDefault="00A25D75" w:rsidP="00A25D75">
      <w:pPr>
        <w:pStyle w:val="ListParagraph"/>
        <w:spacing w:line="360" w:lineRule="auto"/>
        <w:ind w:left="1440" w:right="804"/>
        <w:jc w:val="both"/>
        <w:rPr>
          <w:rFonts w:ascii="Times New Roman" w:hAnsi="Times New Roman" w:cs="Times New Roman"/>
          <w:i/>
          <w:iCs/>
        </w:rPr>
      </w:pPr>
    </w:p>
    <w:p w14:paraId="0BE84D9D" w14:textId="77777777" w:rsidR="00BF1554" w:rsidRDefault="00BF1554" w:rsidP="00A25D75">
      <w:pPr>
        <w:pStyle w:val="ListParagraph"/>
        <w:spacing w:line="360" w:lineRule="auto"/>
        <w:ind w:left="1440" w:right="804"/>
        <w:jc w:val="both"/>
        <w:rPr>
          <w:rFonts w:ascii="Times New Roman" w:hAnsi="Times New Roman" w:cs="Times New Roman"/>
          <w:i/>
          <w:iCs/>
        </w:rPr>
      </w:pPr>
      <w:r w:rsidRPr="00BF1554">
        <w:rPr>
          <w:rFonts w:ascii="Times New Roman" w:hAnsi="Times New Roman" w:cs="Times New Roman"/>
          <w:i/>
          <w:iCs/>
        </w:rPr>
        <w:t xml:space="preserve">- whilst accepting the benefits of delivery of a 1 and 2 bed unit mix to overall supply, the total lack of 3 bed units means that I would afford this benefit </w:t>
      </w:r>
      <w:r w:rsidRPr="00C63E02">
        <w:rPr>
          <w:rFonts w:ascii="Times New Roman" w:hAnsi="Times New Roman" w:cs="Times New Roman"/>
          <w:b/>
          <w:bCs/>
          <w:i/>
          <w:iCs/>
        </w:rPr>
        <w:t>moderate weight</w:t>
      </w:r>
    </w:p>
    <w:p w14:paraId="473548F4" w14:textId="77777777" w:rsidR="00A25D75" w:rsidRPr="00BF1554" w:rsidRDefault="00A25D75" w:rsidP="00A25D75">
      <w:pPr>
        <w:pStyle w:val="ListParagraph"/>
        <w:spacing w:line="360" w:lineRule="auto"/>
        <w:ind w:left="1440" w:right="804"/>
        <w:jc w:val="both"/>
        <w:rPr>
          <w:rFonts w:ascii="Times New Roman" w:hAnsi="Times New Roman" w:cs="Times New Roman"/>
          <w:i/>
          <w:iCs/>
        </w:rPr>
      </w:pPr>
    </w:p>
    <w:p w14:paraId="69F64052" w14:textId="77777777" w:rsidR="00BF1554" w:rsidRDefault="00BF1554" w:rsidP="000703F0">
      <w:pPr>
        <w:pStyle w:val="ListParagraph"/>
        <w:spacing w:line="360" w:lineRule="auto"/>
        <w:ind w:left="1440" w:right="804"/>
        <w:jc w:val="both"/>
        <w:rPr>
          <w:rFonts w:ascii="Times New Roman" w:hAnsi="Times New Roman" w:cs="Times New Roman"/>
          <w:i/>
          <w:iCs/>
        </w:rPr>
      </w:pPr>
      <w:r w:rsidRPr="00BF1554">
        <w:rPr>
          <w:rFonts w:ascii="Times New Roman" w:hAnsi="Times New Roman" w:cs="Times New Roman"/>
          <w:i/>
          <w:iCs/>
        </w:rPr>
        <w:t xml:space="preserve">- the provision of affordable housing should be afforded </w:t>
      </w:r>
      <w:r w:rsidRPr="00C63E02">
        <w:rPr>
          <w:rFonts w:ascii="Times New Roman" w:hAnsi="Times New Roman" w:cs="Times New Roman"/>
          <w:b/>
          <w:bCs/>
          <w:i/>
          <w:iCs/>
        </w:rPr>
        <w:t>substantial weight</w:t>
      </w:r>
    </w:p>
    <w:p w14:paraId="4A5618A3" w14:textId="77777777" w:rsidR="00A25D75" w:rsidRPr="00BF1554" w:rsidRDefault="00A25D75" w:rsidP="000703F0">
      <w:pPr>
        <w:pStyle w:val="ListParagraph"/>
        <w:spacing w:line="360" w:lineRule="auto"/>
        <w:ind w:left="1440" w:right="804"/>
        <w:jc w:val="both"/>
        <w:rPr>
          <w:rFonts w:ascii="Times New Roman" w:hAnsi="Times New Roman" w:cs="Times New Roman"/>
          <w:i/>
          <w:iCs/>
        </w:rPr>
      </w:pPr>
    </w:p>
    <w:p w14:paraId="72F07108" w14:textId="49A48D81" w:rsidR="00BF1554" w:rsidRDefault="00BF1554" w:rsidP="000703F0">
      <w:pPr>
        <w:pStyle w:val="ListParagraph"/>
        <w:spacing w:line="360" w:lineRule="auto"/>
        <w:ind w:left="1440" w:right="804"/>
        <w:jc w:val="both"/>
        <w:rPr>
          <w:rFonts w:ascii="Times New Roman" w:hAnsi="Times New Roman" w:cs="Times New Roman"/>
          <w:i/>
          <w:iCs/>
        </w:rPr>
      </w:pPr>
      <w:r w:rsidRPr="00BF1554">
        <w:rPr>
          <w:rFonts w:ascii="Times New Roman" w:hAnsi="Times New Roman" w:cs="Times New Roman"/>
          <w:i/>
          <w:iCs/>
        </w:rPr>
        <w:t>- Economic benefits in terms of construction jobs, increased local spend and enhanced Council Tax and New Homes Bonus and Affordable Workspace to which I would attribute</w:t>
      </w:r>
      <w:r w:rsidR="00A25D75">
        <w:rPr>
          <w:rFonts w:ascii="Times New Roman" w:hAnsi="Times New Roman" w:cs="Times New Roman"/>
          <w:i/>
          <w:iCs/>
        </w:rPr>
        <w:t xml:space="preserve"> </w:t>
      </w:r>
      <w:r w:rsidRPr="00C63E02">
        <w:rPr>
          <w:rFonts w:ascii="Times New Roman" w:hAnsi="Times New Roman" w:cs="Times New Roman"/>
          <w:b/>
          <w:bCs/>
          <w:i/>
          <w:iCs/>
        </w:rPr>
        <w:t>moderate weight.</w:t>
      </w:r>
    </w:p>
    <w:p w14:paraId="57041BC8" w14:textId="77777777" w:rsidR="00A25D75" w:rsidRPr="00BF1554" w:rsidRDefault="00A25D75" w:rsidP="000703F0">
      <w:pPr>
        <w:pStyle w:val="ListParagraph"/>
        <w:spacing w:line="360" w:lineRule="auto"/>
        <w:ind w:left="1440" w:right="804"/>
        <w:jc w:val="both"/>
        <w:rPr>
          <w:rFonts w:ascii="Times New Roman" w:hAnsi="Times New Roman" w:cs="Times New Roman"/>
          <w:i/>
          <w:iCs/>
        </w:rPr>
      </w:pPr>
    </w:p>
    <w:p w14:paraId="70C10C0A" w14:textId="5455B30F" w:rsidR="00BF1554" w:rsidRPr="00BF1554" w:rsidRDefault="00BF1554" w:rsidP="000703F0">
      <w:pPr>
        <w:pStyle w:val="ListParagraph"/>
        <w:spacing w:line="360" w:lineRule="auto"/>
        <w:ind w:left="1440" w:right="804"/>
        <w:jc w:val="both"/>
        <w:rPr>
          <w:rFonts w:ascii="Times New Roman" w:hAnsi="Times New Roman" w:cs="Times New Roman"/>
          <w:i/>
          <w:iCs/>
        </w:rPr>
      </w:pPr>
      <w:r w:rsidRPr="00BF1554">
        <w:rPr>
          <w:rFonts w:ascii="Times New Roman" w:hAnsi="Times New Roman" w:cs="Times New Roman"/>
          <w:i/>
          <w:iCs/>
        </w:rPr>
        <w:t>- BNG / UGF</w:t>
      </w:r>
      <w:r w:rsidR="00A25D75">
        <w:rPr>
          <w:rFonts w:ascii="Times New Roman" w:hAnsi="Times New Roman" w:cs="Times New Roman"/>
          <w:i/>
          <w:iCs/>
        </w:rPr>
        <w:t xml:space="preserve"> </w:t>
      </w:r>
      <w:r w:rsidRPr="00BF1554">
        <w:rPr>
          <w:rFonts w:ascii="Times New Roman" w:hAnsi="Times New Roman" w:cs="Times New Roman"/>
          <w:i/>
          <w:iCs/>
        </w:rPr>
        <w:t xml:space="preserve">– </w:t>
      </w:r>
      <w:r w:rsidRPr="00C63E02">
        <w:rPr>
          <w:rFonts w:ascii="Times New Roman" w:hAnsi="Times New Roman" w:cs="Times New Roman"/>
          <w:b/>
          <w:bCs/>
          <w:i/>
          <w:iCs/>
        </w:rPr>
        <w:t>limited weight</w:t>
      </w:r>
    </w:p>
    <w:p w14:paraId="172889D4" w14:textId="77777777" w:rsidR="000703F0" w:rsidRPr="00C63E02" w:rsidRDefault="000703F0" w:rsidP="00C63E02">
      <w:pPr>
        <w:rPr>
          <w:rFonts w:ascii="Times New Roman" w:hAnsi="Times New Roman" w:cs="Times New Roman"/>
        </w:rPr>
      </w:pPr>
    </w:p>
    <w:p w14:paraId="3FEC22BC" w14:textId="71617F53" w:rsidR="00920D68" w:rsidRDefault="00920D68" w:rsidP="002F4A63">
      <w:pPr>
        <w:pStyle w:val="ListParagraph"/>
        <w:numPr>
          <w:ilvl w:val="0"/>
          <w:numId w:val="5"/>
        </w:numPr>
        <w:spacing w:line="360" w:lineRule="auto"/>
        <w:jc w:val="both"/>
        <w:rPr>
          <w:rFonts w:ascii="Times New Roman" w:hAnsi="Times New Roman" w:cs="Times New Roman"/>
        </w:rPr>
      </w:pPr>
      <w:r>
        <w:rPr>
          <w:rFonts w:ascii="Times New Roman" w:hAnsi="Times New Roman" w:cs="Times New Roman"/>
        </w:rPr>
        <w:t>Having set out and assessed the planning benefits, Karen Daye then sets out and assesses the planning harm. It is the Council’s case that th</w:t>
      </w:r>
      <w:r w:rsidR="00F1351D">
        <w:rPr>
          <w:rFonts w:ascii="Times New Roman" w:hAnsi="Times New Roman" w:cs="Times New Roman"/>
        </w:rPr>
        <w:t>is</w:t>
      </w:r>
      <w:r>
        <w:rPr>
          <w:rFonts w:ascii="Times New Roman" w:hAnsi="Times New Roman" w:cs="Times New Roman"/>
        </w:rPr>
        <w:t xml:space="preserve"> harm significantly and demonstrably outweighs the </w:t>
      </w:r>
      <w:r w:rsidR="008636F1">
        <w:rPr>
          <w:rFonts w:ascii="Times New Roman" w:hAnsi="Times New Roman" w:cs="Times New Roman"/>
        </w:rPr>
        <w:t xml:space="preserve">planning </w:t>
      </w:r>
      <w:r>
        <w:rPr>
          <w:rFonts w:ascii="Times New Roman" w:hAnsi="Times New Roman" w:cs="Times New Roman"/>
        </w:rPr>
        <w:t>benefits:</w:t>
      </w:r>
    </w:p>
    <w:p w14:paraId="46EB7101" w14:textId="77777777" w:rsidR="00920D68" w:rsidRDefault="00920D68" w:rsidP="00920D68">
      <w:pPr>
        <w:spacing w:line="360" w:lineRule="auto"/>
        <w:jc w:val="both"/>
        <w:rPr>
          <w:rFonts w:ascii="Times New Roman" w:hAnsi="Times New Roman" w:cs="Times New Roman"/>
        </w:rPr>
      </w:pPr>
    </w:p>
    <w:p w14:paraId="66AA3900" w14:textId="77777777" w:rsidR="00920D68" w:rsidRDefault="00920D68" w:rsidP="00920D68">
      <w:pPr>
        <w:spacing w:line="360" w:lineRule="auto"/>
        <w:jc w:val="both"/>
        <w:rPr>
          <w:rFonts w:ascii="Times New Roman" w:hAnsi="Times New Roman" w:cs="Times New Roman"/>
        </w:rPr>
      </w:pPr>
    </w:p>
    <w:p w14:paraId="64731E94" w14:textId="77777777" w:rsidR="00920D68" w:rsidRDefault="00920D68" w:rsidP="00920D68">
      <w:pPr>
        <w:pStyle w:val="ListParagraph"/>
        <w:spacing w:line="360" w:lineRule="auto"/>
        <w:rPr>
          <w:rFonts w:ascii="Times New Roman" w:hAnsi="Times New Roman" w:cs="Times New Roman"/>
        </w:rPr>
      </w:pPr>
      <w:r>
        <w:rPr>
          <w:rFonts w:ascii="Times New Roman" w:hAnsi="Times New Roman" w:cs="Times New Roman"/>
        </w:rPr>
        <w:tab/>
      </w:r>
      <w:r w:rsidRPr="00C63E02">
        <w:rPr>
          <w:rFonts w:ascii="Times New Roman" w:hAnsi="Times New Roman" w:cs="Times New Roman"/>
          <w:u w:val="single"/>
        </w:rPr>
        <w:t>7.6 Planning Harm</w:t>
      </w:r>
    </w:p>
    <w:p w14:paraId="2F68EF2E" w14:textId="77777777" w:rsidR="00920D68" w:rsidRDefault="00920D68" w:rsidP="00920D68">
      <w:pPr>
        <w:pStyle w:val="ListParagraph"/>
        <w:spacing w:line="360" w:lineRule="auto"/>
        <w:rPr>
          <w:rFonts w:ascii="Times New Roman" w:hAnsi="Times New Roman" w:cs="Times New Roman"/>
        </w:rPr>
      </w:pPr>
    </w:p>
    <w:p w14:paraId="67AC8243" w14:textId="77777777" w:rsidR="00920D68" w:rsidRDefault="00920D68" w:rsidP="00920D68">
      <w:pPr>
        <w:pStyle w:val="ListParagraph"/>
        <w:spacing w:line="360" w:lineRule="auto"/>
        <w:ind w:left="1440" w:right="804"/>
        <w:jc w:val="both"/>
        <w:rPr>
          <w:rFonts w:ascii="Times New Roman" w:hAnsi="Times New Roman" w:cs="Times New Roman"/>
          <w:b/>
          <w:bCs/>
          <w:i/>
          <w:iCs/>
        </w:rPr>
      </w:pPr>
      <w:r w:rsidRPr="000703F0">
        <w:rPr>
          <w:rFonts w:ascii="Times New Roman" w:hAnsi="Times New Roman" w:cs="Times New Roman"/>
          <w:i/>
          <w:iCs/>
        </w:rPr>
        <w:t xml:space="preserve">- the design and the impact on the character and appearance of the area relating to the location and quantum of development proposed I would give this harm </w:t>
      </w:r>
      <w:r w:rsidRPr="000703F0">
        <w:rPr>
          <w:rFonts w:ascii="Times New Roman" w:hAnsi="Times New Roman" w:cs="Times New Roman"/>
          <w:b/>
          <w:bCs/>
          <w:i/>
          <w:iCs/>
        </w:rPr>
        <w:t>very substantial weight</w:t>
      </w:r>
    </w:p>
    <w:p w14:paraId="600E3A46" w14:textId="77777777" w:rsidR="00920D68" w:rsidRPr="000703F0" w:rsidRDefault="00920D68" w:rsidP="00920D68">
      <w:pPr>
        <w:pStyle w:val="ListParagraph"/>
        <w:spacing w:line="360" w:lineRule="auto"/>
        <w:ind w:left="1440" w:right="804"/>
        <w:jc w:val="both"/>
        <w:rPr>
          <w:rFonts w:ascii="Times New Roman" w:hAnsi="Times New Roman" w:cs="Times New Roman"/>
          <w:i/>
          <w:iCs/>
        </w:rPr>
      </w:pPr>
    </w:p>
    <w:p w14:paraId="1CDE8BE3" w14:textId="77777777" w:rsidR="00920D68" w:rsidRDefault="00920D68" w:rsidP="00920D68">
      <w:pPr>
        <w:pStyle w:val="ListParagraph"/>
        <w:spacing w:line="360" w:lineRule="auto"/>
        <w:ind w:left="1440" w:right="804"/>
        <w:jc w:val="both"/>
        <w:rPr>
          <w:rFonts w:ascii="Times New Roman" w:hAnsi="Times New Roman" w:cs="Times New Roman"/>
          <w:b/>
          <w:bCs/>
          <w:i/>
          <w:iCs/>
        </w:rPr>
      </w:pPr>
      <w:r w:rsidRPr="000703F0">
        <w:rPr>
          <w:rFonts w:ascii="Times New Roman" w:hAnsi="Times New Roman" w:cs="Times New Roman"/>
          <w:i/>
          <w:iCs/>
        </w:rPr>
        <w:t xml:space="preserve">- living conditions of future occupiers, I would give this harm </w:t>
      </w:r>
      <w:r w:rsidRPr="000703F0">
        <w:rPr>
          <w:rFonts w:ascii="Times New Roman" w:hAnsi="Times New Roman" w:cs="Times New Roman"/>
          <w:b/>
          <w:bCs/>
          <w:i/>
          <w:iCs/>
        </w:rPr>
        <w:t>substantial weight</w:t>
      </w:r>
    </w:p>
    <w:p w14:paraId="20A951FE" w14:textId="77777777" w:rsidR="00920D68" w:rsidRPr="000703F0" w:rsidRDefault="00920D68" w:rsidP="00920D68">
      <w:pPr>
        <w:pStyle w:val="ListParagraph"/>
        <w:spacing w:line="360" w:lineRule="auto"/>
        <w:ind w:left="1440" w:right="804"/>
        <w:jc w:val="both"/>
        <w:rPr>
          <w:rFonts w:ascii="Times New Roman" w:hAnsi="Times New Roman" w:cs="Times New Roman"/>
          <w:i/>
          <w:iCs/>
        </w:rPr>
      </w:pPr>
    </w:p>
    <w:p w14:paraId="1ABB3E8A" w14:textId="77777777" w:rsidR="00920D68" w:rsidRDefault="00920D68" w:rsidP="00920D68">
      <w:pPr>
        <w:pStyle w:val="ListParagraph"/>
        <w:spacing w:line="360" w:lineRule="auto"/>
        <w:ind w:left="1440" w:right="804"/>
        <w:jc w:val="both"/>
        <w:rPr>
          <w:rFonts w:ascii="Times New Roman" w:hAnsi="Times New Roman" w:cs="Times New Roman"/>
          <w:b/>
          <w:bCs/>
          <w:i/>
          <w:iCs/>
        </w:rPr>
      </w:pPr>
      <w:r w:rsidRPr="000703F0">
        <w:rPr>
          <w:rFonts w:ascii="Times New Roman" w:hAnsi="Times New Roman" w:cs="Times New Roman"/>
          <w:i/>
          <w:iCs/>
        </w:rPr>
        <w:t xml:space="preserve">- living conditions of surrounding occupiers, I would give this harm </w:t>
      </w:r>
      <w:r w:rsidRPr="000703F0">
        <w:rPr>
          <w:rFonts w:ascii="Times New Roman" w:hAnsi="Times New Roman" w:cs="Times New Roman"/>
          <w:b/>
          <w:bCs/>
          <w:i/>
          <w:iCs/>
        </w:rPr>
        <w:t>substantial weight</w:t>
      </w:r>
    </w:p>
    <w:p w14:paraId="1C5AEFA1" w14:textId="77777777" w:rsidR="00920D68" w:rsidRPr="000703F0" w:rsidRDefault="00920D68" w:rsidP="00920D68">
      <w:pPr>
        <w:pStyle w:val="ListParagraph"/>
        <w:spacing w:line="360" w:lineRule="auto"/>
        <w:ind w:left="1440" w:right="804"/>
        <w:jc w:val="both"/>
        <w:rPr>
          <w:rFonts w:ascii="Times New Roman" w:hAnsi="Times New Roman" w:cs="Times New Roman"/>
          <w:i/>
          <w:iCs/>
        </w:rPr>
      </w:pPr>
    </w:p>
    <w:p w14:paraId="67A7AF81" w14:textId="77777777" w:rsidR="00920D68" w:rsidRDefault="00920D68" w:rsidP="00920D68">
      <w:pPr>
        <w:pStyle w:val="ListParagraph"/>
        <w:spacing w:line="360" w:lineRule="auto"/>
        <w:ind w:left="1440" w:right="804"/>
        <w:jc w:val="both"/>
        <w:rPr>
          <w:rFonts w:ascii="Times New Roman" w:hAnsi="Times New Roman" w:cs="Times New Roman"/>
          <w:b/>
          <w:bCs/>
          <w:i/>
          <w:iCs/>
        </w:rPr>
      </w:pPr>
      <w:r w:rsidRPr="000703F0">
        <w:rPr>
          <w:rFonts w:ascii="Times New Roman" w:hAnsi="Times New Roman" w:cs="Times New Roman"/>
          <w:i/>
          <w:iCs/>
        </w:rPr>
        <w:t xml:space="preserve">- light impacts on existing and future occupiers, I would give this </w:t>
      </w:r>
      <w:r w:rsidRPr="000703F0">
        <w:rPr>
          <w:rFonts w:ascii="Times New Roman" w:hAnsi="Times New Roman" w:cs="Times New Roman"/>
          <w:b/>
          <w:bCs/>
          <w:i/>
          <w:iCs/>
        </w:rPr>
        <w:t>substantial weight</w:t>
      </w:r>
    </w:p>
    <w:p w14:paraId="2704D4A9" w14:textId="77777777" w:rsidR="00920D68" w:rsidRPr="000703F0" w:rsidRDefault="00920D68" w:rsidP="00920D68">
      <w:pPr>
        <w:pStyle w:val="ListParagraph"/>
        <w:spacing w:line="360" w:lineRule="auto"/>
        <w:ind w:left="1440" w:right="804"/>
        <w:jc w:val="both"/>
        <w:rPr>
          <w:rFonts w:ascii="Times New Roman" w:hAnsi="Times New Roman" w:cs="Times New Roman"/>
          <w:i/>
          <w:iCs/>
        </w:rPr>
      </w:pPr>
    </w:p>
    <w:p w14:paraId="7F5F2757" w14:textId="77777777" w:rsidR="00920D68" w:rsidRDefault="00920D68" w:rsidP="00920D68">
      <w:pPr>
        <w:pStyle w:val="ListParagraph"/>
        <w:spacing w:line="360" w:lineRule="auto"/>
        <w:ind w:left="1440" w:right="804"/>
        <w:jc w:val="both"/>
        <w:rPr>
          <w:rFonts w:ascii="Times New Roman" w:hAnsi="Times New Roman" w:cs="Times New Roman"/>
        </w:rPr>
      </w:pPr>
      <w:r w:rsidRPr="000703F0">
        <w:rPr>
          <w:rFonts w:ascii="Times New Roman" w:hAnsi="Times New Roman" w:cs="Times New Roman"/>
          <w:i/>
          <w:iCs/>
        </w:rPr>
        <w:t xml:space="preserve">- impact on setting of conservation area, I would give this harm </w:t>
      </w:r>
      <w:r w:rsidRPr="000703F0">
        <w:rPr>
          <w:rFonts w:ascii="Times New Roman" w:hAnsi="Times New Roman" w:cs="Times New Roman"/>
          <w:b/>
          <w:bCs/>
          <w:i/>
          <w:iCs/>
        </w:rPr>
        <w:t>limited weight</w:t>
      </w:r>
    </w:p>
    <w:p w14:paraId="4D5ACACB" w14:textId="77777777" w:rsidR="00920D68" w:rsidRPr="00920D68" w:rsidRDefault="00920D68" w:rsidP="00920D68">
      <w:pPr>
        <w:spacing w:line="360" w:lineRule="auto"/>
        <w:jc w:val="both"/>
        <w:rPr>
          <w:rFonts w:ascii="Times New Roman" w:hAnsi="Times New Roman" w:cs="Times New Roman"/>
        </w:rPr>
      </w:pPr>
    </w:p>
    <w:p w14:paraId="001F34CE" w14:textId="76BCB156" w:rsidR="002F4A63" w:rsidRPr="002F4A63" w:rsidRDefault="00A96ABB" w:rsidP="002F4A63">
      <w:pPr>
        <w:pStyle w:val="ListParagraph"/>
        <w:numPr>
          <w:ilvl w:val="0"/>
          <w:numId w:val="5"/>
        </w:numPr>
        <w:spacing w:line="360" w:lineRule="auto"/>
        <w:jc w:val="both"/>
        <w:rPr>
          <w:rFonts w:ascii="Times New Roman" w:hAnsi="Times New Roman" w:cs="Times New Roman"/>
        </w:rPr>
      </w:pPr>
      <w:r>
        <w:rPr>
          <w:rFonts w:ascii="Times New Roman" w:hAnsi="Times New Roman" w:cs="Times New Roman"/>
        </w:rPr>
        <w:t xml:space="preserve">In </w:t>
      </w:r>
      <w:r w:rsidR="002F4A63">
        <w:rPr>
          <w:rFonts w:ascii="Times New Roman" w:hAnsi="Times New Roman" w:cs="Times New Roman"/>
        </w:rPr>
        <w:t>Appendix 2 of Karen Daye’s proof</w:t>
      </w:r>
      <w:r w:rsidR="002F4A63">
        <w:rPr>
          <w:rStyle w:val="FootnoteReference"/>
          <w:rFonts w:ascii="Times New Roman" w:hAnsi="Times New Roman" w:cs="Times New Roman"/>
        </w:rPr>
        <w:footnoteReference w:id="73"/>
      </w:r>
      <w:r>
        <w:rPr>
          <w:rFonts w:ascii="Times New Roman" w:hAnsi="Times New Roman" w:cs="Times New Roman"/>
        </w:rPr>
        <w:t xml:space="preserve">, </w:t>
      </w:r>
      <w:r w:rsidR="002F4A63">
        <w:rPr>
          <w:rFonts w:ascii="Times New Roman" w:hAnsi="Times New Roman" w:cs="Times New Roman"/>
        </w:rPr>
        <w:t xml:space="preserve">a </w:t>
      </w:r>
      <w:r w:rsidR="002F4A63" w:rsidRPr="00155F4A">
        <w:rPr>
          <w:rFonts w:ascii="Times New Roman" w:hAnsi="Times New Roman" w:cs="Times New Roman"/>
        </w:rPr>
        <w:t>Summary Planning Balance Matrix</w:t>
      </w:r>
      <w:r w:rsidR="002F4A63">
        <w:rPr>
          <w:rFonts w:ascii="Times New Roman" w:hAnsi="Times New Roman" w:cs="Times New Roman"/>
        </w:rPr>
        <w:t xml:space="preserve"> table</w:t>
      </w:r>
      <w:r>
        <w:rPr>
          <w:rFonts w:ascii="Times New Roman" w:hAnsi="Times New Roman" w:cs="Times New Roman"/>
        </w:rPr>
        <w:t xml:space="preserve"> shows the relevant harm-benefit scale</w:t>
      </w:r>
      <w:r w:rsidR="002F4A63">
        <w:rPr>
          <w:rStyle w:val="FootnoteReference"/>
          <w:rFonts w:ascii="Times New Roman" w:hAnsi="Times New Roman" w:cs="Times New Roman"/>
        </w:rPr>
        <w:footnoteReference w:id="74"/>
      </w:r>
      <w:r w:rsidR="002F4A63">
        <w:rPr>
          <w:rFonts w:ascii="Times New Roman" w:hAnsi="Times New Roman" w:cs="Times New Roman"/>
        </w:rPr>
        <w:t xml:space="preserve">, </w:t>
      </w:r>
      <w:r>
        <w:rPr>
          <w:rFonts w:ascii="Times New Roman" w:hAnsi="Times New Roman" w:cs="Times New Roman"/>
        </w:rPr>
        <w:t xml:space="preserve">and it clearly shows </w:t>
      </w:r>
      <w:r w:rsidR="002F4A63">
        <w:rPr>
          <w:rFonts w:ascii="Times New Roman" w:hAnsi="Times New Roman" w:cs="Times New Roman"/>
        </w:rPr>
        <w:t>there is Significant / Substantial Harm across this proposal.</w:t>
      </w:r>
      <w:r w:rsidR="002F4A63" w:rsidRPr="00155F4A">
        <w:rPr>
          <w:rFonts w:ascii="Times New Roman" w:hAnsi="Times New Roman" w:cs="Times New Roman"/>
        </w:rPr>
        <w:t xml:space="preserve"> </w:t>
      </w:r>
      <w:r w:rsidR="00D626C7">
        <w:rPr>
          <w:rFonts w:ascii="Times New Roman" w:hAnsi="Times New Roman" w:cs="Times New Roman"/>
        </w:rPr>
        <w:t xml:space="preserve">Furthermore in key cross examination, Mark Batchelor said that even if the Inspector concludes that the design is poor, this appeal should be allowed </w:t>
      </w:r>
      <w:r w:rsidR="008659A0">
        <w:rPr>
          <w:rFonts w:ascii="Times New Roman" w:hAnsi="Times New Roman" w:cs="Times New Roman"/>
        </w:rPr>
        <w:t>in the context of the HLS shortfall.</w:t>
      </w:r>
      <w:r w:rsidR="00935F88">
        <w:rPr>
          <w:rFonts w:ascii="Times New Roman" w:hAnsi="Times New Roman" w:cs="Times New Roman"/>
        </w:rPr>
        <w:t xml:space="preserve"> In the Council’s view this is not </w:t>
      </w:r>
      <w:r w:rsidR="00935F88">
        <w:rPr>
          <w:rFonts w:ascii="Times New Roman" w:hAnsi="Times New Roman" w:cs="Times New Roman"/>
        </w:rPr>
        <w:lastRenderedPageBreak/>
        <w:t>the exercise which the Inspector should undertake</w:t>
      </w:r>
      <w:r w:rsidR="0003796B">
        <w:rPr>
          <w:rFonts w:ascii="Times New Roman" w:hAnsi="Times New Roman" w:cs="Times New Roman"/>
        </w:rPr>
        <w:t>, the Inspector should weigh the benefits against the harms.</w:t>
      </w:r>
    </w:p>
    <w:p w14:paraId="5F740D1F" w14:textId="77777777" w:rsidR="002F4A63" w:rsidRDefault="002F4A63" w:rsidP="002F4A63">
      <w:pPr>
        <w:pStyle w:val="ListParagraph"/>
        <w:spacing w:line="360" w:lineRule="auto"/>
        <w:jc w:val="both"/>
        <w:rPr>
          <w:rFonts w:ascii="Times New Roman" w:hAnsi="Times New Roman" w:cs="Times New Roman"/>
        </w:rPr>
      </w:pPr>
    </w:p>
    <w:p w14:paraId="12CEAF2A" w14:textId="4682BD7F" w:rsidR="00C63E02" w:rsidRDefault="00644471" w:rsidP="000E516B">
      <w:pPr>
        <w:pStyle w:val="ListParagraph"/>
        <w:numPr>
          <w:ilvl w:val="0"/>
          <w:numId w:val="5"/>
        </w:numPr>
        <w:spacing w:line="360" w:lineRule="auto"/>
        <w:jc w:val="both"/>
        <w:rPr>
          <w:rFonts w:ascii="Times New Roman" w:hAnsi="Times New Roman" w:cs="Times New Roman"/>
        </w:rPr>
      </w:pPr>
      <w:r>
        <w:rPr>
          <w:rFonts w:ascii="Times New Roman" w:hAnsi="Times New Roman" w:cs="Times New Roman"/>
        </w:rPr>
        <w:t xml:space="preserve">Mark Batchelor </w:t>
      </w:r>
      <w:r w:rsidR="00AF2B8C">
        <w:rPr>
          <w:rFonts w:ascii="Times New Roman" w:hAnsi="Times New Roman" w:cs="Times New Roman"/>
        </w:rPr>
        <w:t>provided</w:t>
      </w:r>
      <w:r>
        <w:rPr>
          <w:rFonts w:ascii="Times New Roman" w:hAnsi="Times New Roman" w:cs="Times New Roman"/>
        </w:rPr>
        <w:t xml:space="preserve"> </w:t>
      </w:r>
      <w:r w:rsidR="00A25D75" w:rsidRPr="000703F0">
        <w:rPr>
          <w:rFonts w:ascii="Times New Roman" w:hAnsi="Times New Roman" w:cs="Times New Roman"/>
        </w:rPr>
        <w:t xml:space="preserve">additional </w:t>
      </w:r>
      <w:r w:rsidR="00FB2164" w:rsidRPr="000703F0">
        <w:rPr>
          <w:rFonts w:ascii="Times New Roman" w:hAnsi="Times New Roman" w:cs="Times New Roman"/>
        </w:rPr>
        <w:t>benefits</w:t>
      </w:r>
      <w:r w:rsidR="00A25D75">
        <w:rPr>
          <w:rStyle w:val="FootnoteReference"/>
          <w:rFonts w:ascii="Times New Roman" w:hAnsi="Times New Roman" w:cs="Times New Roman"/>
        </w:rPr>
        <w:footnoteReference w:id="75"/>
      </w:r>
      <w:r w:rsidR="000703F0" w:rsidRPr="000703F0">
        <w:rPr>
          <w:rFonts w:ascii="Times New Roman" w:hAnsi="Times New Roman" w:cs="Times New Roman"/>
        </w:rPr>
        <w:t xml:space="preserve"> which </w:t>
      </w:r>
      <w:r w:rsidR="00AE0B0D">
        <w:rPr>
          <w:rFonts w:ascii="Times New Roman" w:hAnsi="Times New Roman" w:cs="Times New Roman"/>
        </w:rPr>
        <w:t xml:space="preserve">Karen Daye </w:t>
      </w:r>
      <w:r w:rsidR="00AD277A">
        <w:rPr>
          <w:rFonts w:ascii="Times New Roman" w:hAnsi="Times New Roman" w:cs="Times New Roman"/>
        </w:rPr>
        <w:t>then</w:t>
      </w:r>
      <w:r w:rsidR="00283355" w:rsidRPr="000703F0">
        <w:rPr>
          <w:rFonts w:ascii="Times New Roman" w:hAnsi="Times New Roman" w:cs="Times New Roman"/>
        </w:rPr>
        <w:t xml:space="preserve"> </w:t>
      </w:r>
      <w:r w:rsidR="00F45BD2">
        <w:rPr>
          <w:rFonts w:ascii="Times New Roman" w:hAnsi="Times New Roman" w:cs="Times New Roman"/>
        </w:rPr>
        <w:t>considered</w:t>
      </w:r>
      <w:r w:rsidR="00283355" w:rsidRPr="000703F0">
        <w:rPr>
          <w:rFonts w:ascii="Times New Roman" w:hAnsi="Times New Roman" w:cs="Times New Roman"/>
        </w:rPr>
        <w:t xml:space="preserve"> in the balance</w:t>
      </w:r>
      <w:r w:rsidR="00F96432" w:rsidRPr="000703F0">
        <w:rPr>
          <w:rFonts w:ascii="Times New Roman" w:hAnsi="Times New Roman" w:cs="Times New Roman"/>
        </w:rPr>
        <w:t>. Karen Daye</w:t>
      </w:r>
      <w:r w:rsidR="00AE0B0D">
        <w:rPr>
          <w:rFonts w:ascii="Times New Roman" w:hAnsi="Times New Roman" w:cs="Times New Roman"/>
        </w:rPr>
        <w:t>’s view is</w:t>
      </w:r>
      <w:r w:rsidR="000174DE" w:rsidRPr="000703F0">
        <w:rPr>
          <w:rFonts w:ascii="Times New Roman" w:hAnsi="Times New Roman" w:cs="Times New Roman"/>
        </w:rPr>
        <w:t xml:space="preserve"> that M</w:t>
      </w:r>
      <w:r w:rsidR="000703F0" w:rsidRPr="000703F0">
        <w:rPr>
          <w:rFonts w:ascii="Times New Roman" w:hAnsi="Times New Roman" w:cs="Times New Roman"/>
        </w:rPr>
        <w:t>ark</w:t>
      </w:r>
      <w:r w:rsidR="000174DE" w:rsidRPr="000703F0">
        <w:rPr>
          <w:rFonts w:ascii="Times New Roman" w:hAnsi="Times New Roman" w:cs="Times New Roman"/>
        </w:rPr>
        <w:t xml:space="preserve"> Batchelor</w:t>
      </w:r>
      <w:r w:rsidR="000703F0" w:rsidRPr="000703F0">
        <w:rPr>
          <w:rFonts w:ascii="Times New Roman" w:hAnsi="Times New Roman" w:cs="Times New Roman"/>
        </w:rPr>
        <w:t xml:space="preserve"> has double counted </w:t>
      </w:r>
      <w:r w:rsidR="00AE0B0D">
        <w:rPr>
          <w:rFonts w:ascii="Times New Roman" w:hAnsi="Times New Roman" w:cs="Times New Roman"/>
        </w:rPr>
        <w:t xml:space="preserve">benefits </w:t>
      </w:r>
      <w:r w:rsidR="000703F0" w:rsidRPr="000703F0">
        <w:rPr>
          <w:rFonts w:ascii="Times New Roman" w:hAnsi="Times New Roman" w:cs="Times New Roman"/>
        </w:rPr>
        <w:t xml:space="preserve">for </w:t>
      </w:r>
      <w:r w:rsidR="000174DE" w:rsidRPr="000703F0">
        <w:rPr>
          <w:rFonts w:ascii="Times New Roman" w:hAnsi="Times New Roman" w:cs="Times New Roman"/>
        </w:rPr>
        <w:t>design and townscape</w:t>
      </w:r>
      <w:r w:rsidR="00C82501">
        <w:rPr>
          <w:rFonts w:ascii="Times New Roman" w:hAnsi="Times New Roman" w:cs="Times New Roman"/>
        </w:rPr>
        <w:t xml:space="preserve">, </w:t>
      </w:r>
      <w:r w:rsidR="005F30B9">
        <w:rPr>
          <w:rFonts w:ascii="Times New Roman" w:hAnsi="Times New Roman" w:cs="Times New Roman"/>
        </w:rPr>
        <w:t xml:space="preserve">and for </w:t>
      </w:r>
      <w:r w:rsidR="00C82501">
        <w:rPr>
          <w:rFonts w:ascii="Times New Roman" w:hAnsi="Times New Roman" w:cs="Times New Roman"/>
        </w:rPr>
        <w:t>small sites and development location</w:t>
      </w:r>
      <w:r w:rsidR="005F30B9">
        <w:rPr>
          <w:rFonts w:ascii="Times New Roman" w:hAnsi="Times New Roman" w:cs="Times New Roman"/>
        </w:rPr>
        <w:t xml:space="preserve">. The Appellant has </w:t>
      </w:r>
      <w:r w:rsidR="000703F0" w:rsidRPr="000703F0">
        <w:rPr>
          <w:rFonts w:ascii="Times New Roman" w:hAnsi="Times New Roman" w:cs="Times New Roman"/>
        </w:rPr>
        <w:t>taken them as separate issues, rather than part and parcel of the same issue: townscape</w:t>
      </w:r>
      <w:r w:rsidR="00C82501">
        <w:rPr>
          <w:rFonts w:ascii="Times New Roman" w:hAnsi="Times New Roman" w:cs="Times New Roman"/>
        </w:rPr>
        <w:t xml:space="preserve"> and respectively housing</w:t>
      </w:r>
      <w:r w:rsidR="000703F0" w:rsidRPr="000703F0">
        <w:rPr>
          <w:rFonts w:ascii="Times New Roman" w:hAnsi="Times New Roman" w:cs="Times New Roman"/>
        </w:rPr>
        <w:t xml:space="preserve"> provide the context in which design is considered. </w:t>
      </w:r>
      <w:r w:rsidR="00A967D2">
        <w:rPr>
          <w:rFonts w:ascii="Times New Roman" w:hAnsi="Times New Roman" w:cs="Times New Roman"/>
        </w:rPr>
        <w:t xml:space="preserve">It is noteworthy that while the Council have given careful consideration to the benefits, as well as the harm, Mark Batchelor has given very little consideration to any harm at all, relying almost entirely on perceived benefits </w:t>
      </w:r>
      <w:r w:rsidR="0050787B">
        <w:rPr>
          <w:rFonts w:ascii="Times New Roman" w:hAnsi="Times New Roman" w:cs="Times New Roman"/>
        </w:rPr>
        <w:t>and repeating the views of his own experts</w:t>
      </w:r>
      <w:r w:rsidR="00A967D2">
        <w:rPr>
          <w:rFonts w:ascii="Times New Roman" w:hAnsi="Times New Roman" w:cs="Times New Roman"/>
        </w:rPr>
        <w:t>. In that context, the Council say his analysis is not evenly weighted, and that of Karen Daye is to be preferred.</w:t>
      </w:r>
    </w:p>
    <w:p w14:paraId="795D32D5" w14:textId="77777777" w:rsidR="00C63E02" w:rsidRPr="00C63E02" w:rsidRDefault="00C63E02" w:rsidP="00C63E02">
      <w:pPr>
        <w:spacing w:line="360" w:lineRule="auto"/>
        <w:jc w:val="both"/>
        <w:rPr>
          <w:rFonts w:ascii="Times New Roman" w:hAnsi="Times New Roman" w:cs="Times New Roman"/>
        </w:rPr>
      </w:pPr>
    </w:p>
    <w:p w14:paraId="7ACC9AA8" w14:textId="1A40B976" w:rsidR="00F36FFA" w:rsidRDefault="002F4A63" w:rsidP="00066210">
      <w:pPr>
        <w:pStyle w:val="ListParagraph"/>
        <w:numPr>
          <w:ilvl w:val="0"/>
          <w:numId w:val="5"/>
        </w:numPr>
        <w:spacing w:line="360" w:lineRule="auto"/>
        <w:jc w:val="both"/>
        <w:rPr>
          <w:rFonts w:ascii="Times New Roman" w:hAnsi="Times New Roman" w:cs="Times New Roman"/>
        </w:rPr>
      </w:pPr>
      <w:r>
        <w:rPr>
          <w:rFonts w:ascii="Times New Roman" w:hAnsi="Times New Roman" w:cs="Times New Roman"/>
        </w:rPr>
        <w:t xml:space="preserve">The key guidance for </w:t>
      </w:r>
      <w:r w:rsidR="00801CBD">
        <w:rPr>
          <w:rFonts w:ascii="Times New Roman" w:hAnsi="Times New Roman" w:cs="Times New Roman"/>
        </w:rPr>
        <w:t xml:space="preserve">assessing the </w:t>
      </w:r>
      <w:r>
        <w:rPr>
          <w:rFonts w:ascii="Times New Roman" w:hAnsi="Times New Roman" w:cs="Times New Roman"/>
        </w:rPr>
        <w:t xml:space="preserve">planning balance is </w:t>
      </w:r>
      <w:r w:rsidR="00801CBD">
        <w:rPr>
          <w:rFonts w:ascii="Times New Roman" w:hAnsi="Times New Roman" w:cs="Times New Roman"/>
        </w:rPr>
        <w:t>set out in th</w:t>
      </w:r>
      <w:r>
        <w:rPr>
          <w:rFonts w:ascii="Times New Roman" w:hAnsi="Times New Roman" w:cs="Times New Roman"/>
        </w:rPr>
        <w:t xml:space="preserve">e </w:t>
      </w:r>
      <w:r w:rsidR="00801CBD">
        <w:rPr>
          <w:rFonts w:ascii="Times New Roman" w:hAnsi="Times New Roman" w:cs="Times New Roman"/>
        </w:rPr>
        <w:t xml:space="preserve">Framework. </w:t>
      </w:r>
      <w:r w:rsidR="005C103B">
        <w:rPr>
          <w:rFonts w:ascii="Times New Roman" w:hAnsi="Times New Roman" w:cs="Times New Roman"/>
        </w:rPr>
        <w:t>The Council’s case is</w:t>
      </w:r>
      <w:r w:rsidR="00801CBD">
        <w:rPr>
          <w:rFonts w:ascii="Times New Roman" w:hAnsi="Times New Roman" w:cs="Times New Roman"/>
        </w:rPr>
        <w:t xml:space="preserve"> </w:t>
      </w:r>
      <w:r w:rsidR="005C103B">
        <w:rPr>
          <w:rFonts w:ascii="Times New Roman" w:hAnsi="Times New Roman" w:cs="Times New Roman"/>
        </w:rPr>
        <w:t>that the harm significantly and demonstrably outweighs the benefits.</w:t>
      </w:r>
    </w:p>
    <w:p w14:paraId="067C2676" w14:textId="77777777" w:rsidR="004C0069" w:rsidRDefault="004C0069" w:rsidP="000609E9">
      <w:pPr>
        <w:spacing w:line="360" w:lineRule="auto"/>
        <w:jc w:val="both"/>
        <w:rPr>
          <w:rFonts w:ascii="Times New Roman" w:hAnsi="Times New Roman" w:cs="Times New Roman"/>
        </w:rPr>
      </w:pPr>
    </w:p>
    <w:p w14:paraId="58F2FC50" w14:textId="144E9CBF" w:rsidR="006D45D9" w:rsidRDefault="006D45D9" w:rsidP="0031175A">
      <w:pPr>
        <w:spacing w:line="360" w:lineRule="auto"/>
        <w:jc w:val="both"/>
        <w:rPr>
          <w:rFonts w:ascii="Times New Roman" w:hAnsi="Times New Roman" w:cs="Times New Roman"/>
          <w:b/>
          <w:bCs/>
          <w:u w:val="single"/>
        </w:rPr>
      </w:pPr>
      <w:r w:rsidRPr="0007570C">
        <w:rPr>
          <w:rFonts w:ascii="Times New Roman" w:hAnsi="Times New Roman" w:cs="Times New Roman"/>
          <w:b/>
          <w:bCs/>
          <w:u w:val="single"/>
        </w:rPr>
        <w:t>106 Agreement</w:t>
      </w:r>
    </w:p>
    <w:p w14:paraId="7B6C2881" w14:textId="77777777" w:rsidR="0031175A" w:rsidRPr="0031175A" w:rsidRDefault="0031175A" w:rsidP="0031175A">
      <w:pPr>
        <w:spacing w:line="360" w:lineRule="auto"/>
        <w:jc w:val="both"/>
        <w:rPr>
          <w:rFonts w:ascii="Times New Roman" w:hAnsi="Times New Roman" w:cs="Times New Roman"/>
        </w:rPr>
      </w:pPr>
    </w:p>
    <w:p w14:paraId="5AD17314" w14:textId="503E0428" w:rsidR="0031175A" w:rsidRDefault="00920D68" w:rsidP="0031175A">
      <w:pPr>
        <w:pStyle w:val="ListParagraph"/>
        <w:numPr>
          <w:ilvl w:val="0"/>
          <w:numId w:val="5"/>
        </w:numPr>
        <w:spacing w:line="360" w:lineRule="auto"/>
        <w:jc w:val="both"/>
        <w:rPr>
          <w:rFonts w:ascii="Times New Roman" w:hAnsi="Times New Roman" w:cs="Times New Roman"/>
        </w:rPr>
      </w:pPr>
      <w:r>
        <w:rPr>
          <w:rFonts w:ascii="Times New Roman" w:hAnsi="Times New Roman" w:cs="Times New Roman"/>
        </w:rPr>
        <w:t xml:space="preserve">In the Conditions and 106 Roundtable, Paul </w:t>
      </w:r>
      <w:proofErr w:type="spellStart"/>
      <w:r>
        <w:rPr>
          <w:rFonts w:ascii="Times New Roman" w:hAnsi="Times New Roman" w:cs="Times New Roman"/>
        </w:rPr>
        <w:t>Courtine</w:t>
      </w:r>
      <w:proofErr w:type="spellEnd"/>
      <w:r>
        <w:rPr>
          <w:rFonts w:ascii="Times New Roman" w:hAnsi="Times New Roman" w:cs="Times New Roman"/>
        </w:rPr>
        <w:t xml:space="preserve"> explained that the use of cascading is a new issue which was not referred to in the Appellant’s Statement of Case and for which there is no justification. There is a provider identified by Ramsay Evans and any cascading provision is therefore entirely unnecessary. Further </w:t>
      </w:r>
      <w:r w:rsidR="00A66F94">
        <w:rPr>
          <w:rFonts w:ascii="Times New Roman" w:hAnsi="Times New Roman" w:cs="Times New Roman"/>
        </w:rPr>
        <w:t xml:space="preserve">Ben Johnson and </w:t>
      </w:r>
      <w:r>
        <w:rPr>
          <w:rFonts w:ascii="Times New Roman" w:hAnsi="Times New Roman" w:cs="Times New Roman"/>
        </w:rPr>
        <w:t xml:space="preserve">Paul </w:t>
      </w:r>
      <w:proofErr w:type="spellStart"/>
      <w:r>
        <w:rPr>
          <w:rFonts w:ascii="Times New Roman" w:hAnsi="Times New Roman" w:cs="Times New Roman"/>
        </w:rPr>
        <w:t>Courtine</w:t>
      </w:r>
      <w:proofErr w:type="spellEnd"/>
      <w:r>
        <w:rPr>
          <w:rFonts w:ascii="Times New Roman" w:hAnsi="Times New Roman" w:cs="Times New Roman"/>
        </w:rPr>
        <w:t xml:space="preserve"> explained </w:t>
      </w:r>
      <w:r w:rsidR="00C1615D">
        <w:rPr>
          <w:rFonts w:ascii="Times New Roman" w:hAnsi="Times New Roman" w:cs="Times New Roman"/>
        </w:rPr>
        <w:t xml:space="preserve">that </w:t>
      </w:r>
      <w:r>
        <w:rPr>
          <w:rFonts w:ascii="Times New Roman" w:hAnsi="Times New Roman" w:cs="Times New Roman"/>
        </w:rPr>
        <w:t>cascading provisions have not been used in Bromley</w:t>
      </w:r>
      <w:r w:rsidR="00A66F94">
        <w:rPr>
          <w:rFonts w:ascii="Times New Roman" w:hAnsi="Times New Roman" w:cs="Times New Roman"/>
        </w:rPr>
        <w:t xml:space="preserve"> during their tenure. </w:t>
      </w:r>
      <w:r w:rsidR="009C5E70">
        <w:rPr>
          <w:rFonts w:ascii="Times New Roman" w:hAnsi="Times New Roman" w:cs="Times New Roman"/>
        </w:rPr>
        <w:t xml:space="preserve">If </w:t>
      </w:r>
      <w:r w:rsidR="0006121B">
        <w:rPr>
          <w:rFonts w:ascii="Times New Roman" w:hAnsi="Times New Roman" w:cs="Times New Roman"/>
        </w:rPr>
        <w:t xml:space="preserve">there is a cascade on site delivery is uncertain and </w:t>
      </w:r>
      <w:r w:rsidR="007428AB">
        <w:rPr>
          <w:rFonts w:ascii="Times New Roman" w:hAnsi="Times New Roman" w:cs="Times New Roman"/>
        </w:rPr>
        <w:t xml:space="preserve">if the </w:t>
      </w:r>
      <w:proofErr w:type="spellStart"/>
      <w:r w:rsidR="007428AB">
        <w:rPr>
          <w:rFonts w:ascii="Times New Roman" w:hAnsi="Times New Roman" w:cs="Times New Roman"/>
        </w:rPr>
        <w:t>Councik</w:t>
      </w:r>
      <w:proofErr w:type="spellEnd"/>
      <w:r w:rsidR="007428AB">
        <w:rPr>
          <w:rFonts w:ascii="Times New Roman" w:hAnsi="Times New Roman" w:cs="Times New Roman"/>
        </w:rPr>
        <w:t xml:space="preserve"> get enough money to buy the equivalent </w:t>
      </w:r>
      <w:r w:rsidR="00233A3E">
        <w:rPr>
          <w:rFonts w:ascii="Times New Roman" w:hAnsi="Times New Roman" w:cs="Times New Roman"/>
        </w:rPr>
        <w:t>there is no certainty of when those units would become available.</w:t>
      </w:r>
    </w:p>
    <w:p w14:paraId="26FF86C0" w14:textId="77777777" w:rsidR="00BE3BD0" w:rsidRDefault="00BE3BD0" w:rsidP="00BE3BD0">
      <w:pPr>
        <w:spacing w:line="360" w:lineRule="auto"/>
        <w:jc w:val="both"/>
        <w:rPr>
          <w:rFonts w:ascii="Times New Roman" w:hAnsi="Times New Roman" w:cs="Times New Roman"/>
        </w:rPr>
      </w:pPr>
    </w:p>
    <w:p w14:paraId="73A02B35" w14:textId="746F40E3" w:rsidR="00BE3BD0" w:rsidRDefault="00BE3BD0" w:rsidP="00BE3BD0">
      <w:pPr>
        <w:spacing w:line="360" w:lineRule="auto"/>
        <w:jc w:val="both"/>
        <w:rPr>
          <w:rFonts w:ascii="Times New Roman" w:hAnsi="Times New Roman" w:cs="Times New Roman"/>
        </w:rPr>
      </w:pPr>
      <w:r>
        <w:rPr>
          <w:rFonts w:ascii="Times New Roman" w:hAnsi="Times New Roman" w:cs="Times New Roman"/>
          <w:b/>
          <w:bCs/>
          <w:u w:val="single"/>
        </w:rPr>
        <w:t>Conclusion</w:t>
      </w:r>
    </w:p>
    <w:p w14:paraId="44FB5A91" w14:textId="77777777" w:rsidR="00BE3BD0" w:rsidRDefault="00BE3BD0" w:rsidP="00BE3BD0">
      <w:pPr>
        <w:spacing w:line="360" w:lineRule="auto"/>
        <w:jc w:val="both"/>
        <w:rPr>
          <w:rFonts w:ascii="Times New Roman" w:hAnsi="Times New Roman" w:cs="Times New Roman"/>
        </w:rPr>
      </w:pPr>
    </w:p>
    <w:p w14:paraId="7A4B9DEC" w14:textId="6CE628DE" w:rsidR="00BE3BD0" w:rsidRPr="00687EE9" w:rsidRDefault="00D97333" w:rsidP="00687EE9">
      <w:pPr>
        <w:pStyle w:val="ListParagraph"/>
        <w:numPr>
          <w:ilvl w:val="0"/>
          <w:numId w:val="5"/>
        </w:numPr>
        <w:spacing w:line="360" w:lineRule="auto"/>
        <w:jc w:val="both"/>
        <w:rPr>
          <w:rFonts w:ascii="Times New Roman" w:hAnsi="Times New Roman" w:cs="Times New Roman"/>
        </w:rPr>
      </w:pPr>
      <w:r>
        <w:rPr>
          <w:rFonts w:ascii="Times New Roman" w:hAnsi="Times New Roman" w:cs="Times New Roman"/>
        </w:rPr>
        <w:t>Th</w:t>
      </w:r>
      <w:r w:rsidR="00920D68">
        <w:rPr>
          <w:rFonts w:ascii="Times New Roman" w:hAnsi="Times New Roman" w:cs="Times New Roman"/>
        </w:rPr>
        <w:t>is is a development that in its current form is inappropriate</w:t>
      </w:r>
      <w:r w:rsidR="00AF40DD">
        <w:rPr>
          <w:rFonts w:ascii="Times New Roman" w:hAnsi="Times New Roman" w:cs="Times New Roman"/>
        </w:rPr>
        <w:t>, with significant and demonstrable harms</w:t>
      </w:r>
      <w:r w:rsidR="00920D68">
        <w:rPr>
          <w:rFonts w:ascii="Times New Roman" w:hAnsi="Times New Roman" w:cs="Times New Roman"/>
        </w:rPr>
        <w:t>.</w:t>
      </w:r>
      <w:r w:rsidR="006B706B">
        <w:rPr>
          <w:rFonts w:ascii="Times New Roman" w:hAnsi="Times New Roman" w:cs="Times New Roman"/>
        </w:rPr>
        <w:t xml:space="preserve"> </w:t>
      </w:r>
      <w:r w:rsidRPr="00687EE9">
        <w:rPr>
          <w:rFonts w:ascii="Times New Roman" w:hAnsi="Times New Roman" w:cs="Times New Roman"/>
        </w:rPr>
        <w:t>T</w:t>
      </w:r>
      <w:r w:rsidR="00BE3BD0" w:rsidRPr="00687EE9">
        <w:rPr>
          <w:rFonts w:ascii="Times New Roman" w:hAnsi="Times New Roman" w:cs="Times New Roman"/>
        </w:rPr>
        <w:t>he Inspector</w:t>
      </w:r>
      <w:r w:rsidRPr="00687EE9">
        <w:rPr>
          <w:rFonts w:ascii="Times New Roman" w:hAnsi="Times New Roman" w:cs="Times New Roman"/>
        </w:rPr>
        <w:t xml:space="preserve"> is invited</w:t>
      </w:r>
      <w:r w:rsidR="00BE3BD0" w:rsidRPr="00687EE9">
        <w:rPr>
          <w:rFonts w:ascii="Times New Roman" w:hAnsi="Times New Roman" w:cs="Times New Roman"/>
        </w:rPr>
        <w:t xml:space="preserve"> to dismiss the appeal. </w:t>
      </w:r>
    </w:p>
    <w:p w14:paraId="17763F4A" w14:textId="77777777" w:rsidR="006D45D9" w:rsidRPr="0031175A" w:rsidRDefault="006D45D9" w:rsidP="000609E9">
      <w:pPr>
        <w:spacing w:line="360" w:lineRule="auto"/>
        <w:jc w:val="both"/>
        <w:rPr>
          <w:rFonts w:ascii="Times New Roman" w:hAnsi="Times New Roman" w:cs="Times New Roman"/>
        </w:rPr>
      </w:pPr>
    </w:p>
    <w:p w14:paraId="68F4568A" w14:textId="487FD9A2" w:rsidR="00F36FFA" w:rsidRPr="00DD35BD" w:rsidRDefault="00F36FFA" w:rsidP="0007570C">
      <w:pPr>
        <w:spacing w:line="360" w:lineRule="auto"/>
        <w:jc w:val="right"/>
        <w:rPr>
          <w:rFonts w:ascii="Times New Roman" w:hAnsi="Times New Roman" w:cs="Times New Roman"/>
        </w:rPr>
      </w:pPr>
      <w:r w:rsidRPr="00DD35BD">
        <w:rPr>
          <w:rFonts w:ascii="Times New Roman" w:hAnsi="Times New Roman" w:cs="Times New Roman"/>
        </w:rPr>
        <w:t>Anne Williams</w:t>
      </w:r>
    </w:p>
    <w:p w14:paraId="11646C16" w14:textId="0852BB9E" w:rsidR="00F36FFA" w:rsidRPr="00DD35BD" w:rsidRDefault="00F36FFA" w:rsidP="0007570C">
      <w:pPr>
        <w:spacing w:line="360" w:lineRule="auto"/>
        <w:jc w:val="right"/>
        <w:rPr>
          <w:rFonts w:ascii="Times New Roman" w:hAnsi="Times New Roman" w:cs="Times New Roman"/>
        </w:rPr>
      </w:pPr>
      <w:r w:rsidRPr="00DD35BD">
        <w:rPr>
          <w:rFonts w:ascii="Times New Roman" w:hAnsi="Times New Roman" w:cs="Times New Roman"/>
        </w:rPr>
        <w:t>Peter Cruickshank</w:t>
      </w:r>
    </w:p>
    <w:p w14:paraId="33CB2090" w14:textId="661915C9" w:rsidR="00F36FFA" w:rsidRPr="00DD35BD" w:rsidRDefault="00F36FFA" w:rsidP="0007570C">
      <w:pPr>
        <w:spacing w:line="360" w:lineRule="auto"/>
        <w:jc w:val="right"/>
        <w:rPr>
          <w:rFonts w:ascii="Times New Roman" w:hAnsi="Times New Roman" w:cs="Times New Roman"/>
        </w:rPr>
      </w:pPr>
      <w:r w:rsidRPr="00DD35BD">
        <w:rPr>
          <w:rFonts w:ascii="Times New Roman" w:hAnsi="Times New Roman" w:cs="Times New Roman"/>
        </w:rPr>
        <w:t>6 Pump Court</w:t>
      </w:r>
    </w:p>
    <w:p w14:paraId="01DAC9C0" w14:textId="183C0C52" w:rsidR="00036CDF" w:rsidRPr="00DD35BD" w:rsidRDefault="00811ADD" w:rsidP="0007570C">
      <w:pPr>
        <w:spacing w:line="360" w:lineRule="auto"/>
        <w:jc w:val="right"/>
        <w:rPr>
          <w:rFonts w:ascii="Times New Roman" w:hAnsi="Times New Roman" w:cs="Times New Roman"/>
        </w:rPr>
      </w:pPr>
      <w:r>
        <w:rPr>
          <w:rFonts w:ascii="Times New Roman" w:hAnsi="Times New Roman" w:cs="Times New Roman"/>
        </w:rPr>
        <w:t>26 July 2024</w:t>
      </w:r>
    </w:p>
    <w:sectPr w:rsidR="00036CDF" w:rsidRPr="00DD35BD">
      <w:footerReference w:type="even"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440EA0" w14:textId="77777777" w:rsidR="00247164" w:rsidRDefault="00247164" w:rsidP="00F531DC">
      <w:r>
        <w:separator/>
      </w:r>
    </w:p>
  </w:endnote>
  <w:endnote w:type="continuationSeparator" w:id="0">
    <w:p w14:paraId="1652E744" w14:textId="77777777" w:rsidR="00247164" w:rsidRDefault="00247164" w:rsidP="00F531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321383000"/>
      <w:docPartObj>
        <w:docPartGallery w:val="Page Numbers (Bottom of Page)"/>
        <w:docPartUnique/>
      </w:docPartObj>
    </w:sdtPr>
    <w:sdtContent>
      <w:p w14:paraId="1711D40C" w14:textId="0CCDCC61" w:rsidR="00E96B51" w:rsidRDefault="00E96B51" w:rsidP="00F2087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FA4F9DA" w14:textId="77777777" w:rsidR="00E96B51" w:rsidRDefault="00E96B51" w:rsidP="00E96B5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430972200"/>
      <w:docPartObj>
        <w:docPartGallery w:val="Page Numbers (Bottom of Page)"/>
        <w:docPartUnique/>
      </w:docPartObj>
    </w:sdtPr>
    <w:sdtContent>
      <w:p w14:paraId="260B7196" w14:textId="10B6E08B" w:rsidR="00E96B51" w:rsidRDefault="00E96B51" w:rsidP="00F2087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745A658" w14:textId="77777777" w:rsidR="00E96B51" w:rsidRDefault="00E96B51" w:rsidP="00E96B5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8D61AB" w14:textId="77777777" w:rsidR="00247164" w:rsidRDefault="00247164" w:rsidP="00F531DC">
      <w:r>
        <w:separator/>
      </w:r>
    </w:p>
  </w:footnote>
  <w:footnote w:type="continuationSeparator" w:id="0">
    <w:p w14:paraId="65A5C2B1" w14:textId="77777777" w:rsidR="00247164" w:rsidRDefault="00247164" w:rsidP="00F531DC">
      <w:r>
        <w:continuationSeparator/>
      </w:r>
    </w:p>
  </w:footnote>
  <w:footnote w:id="1">
    <w:p w14:paraId="78E53683" w14:textId="1CACFDBA" w:rsidR="00F531DC" w:rsidRPr="00B36AAB" w:rsidRDefault="00F531DC">
      <w:pPr>
        <w:pStyle w:val="FootnoteText"/>
        <w:rPr>
          <w:rFonts w:ascii="Times New Roman" w:hAnsi="Times New Roman" w:cs="Times New Roman"/>
        </w:rPr>
      </w:pPr>
      <w:r w:rsidRPr="00B36AAB">
        <w:rPr>
          <w:rStyle w:val="FootnoteReference"/>
          <w:rFonts w:ascii="Times New Roman" w:hAnsi="Times New Roman" w:cs="Times New Roman"/>
        </w:rPr>
        <w:footnoteRef/>
      </w:r>
      <w:r w:rsidRPr="00B36AAB">
        <w:rPr>
          <w:rFonts w:ascii="Times New Roman" w:hAnsi="Times New Roman" w:cs="Times New Roman"/>
        </w:rPr>
        <w:t xml:space="preserve"> On </w:t>
      </w:r>
      <w:r w:rsidR="00BB1A33" w:rsidRPr="00B36AAB">
        <w:rPr>
          <w:rFonts w:ascii="Times New Roman" w:hAnsi="Times New Roman" w:cs="Times New Roman"/>
        </w:rPr>
        <w:t>D</w:t>
      </w:r>
      <w:r w:rsidRPr="00B36AAB">
        <w:rPr>
          <w:rFonts w:ascii="Times New Roman" w:hAnsi="Times New Roman" w:cs="Times New Roman"/>
        </w:rPr>
        <w:t>ay 1, this was confirmed by Ben Johnson in his cross</w:t>
      </w:r>
      <w:r w:rsidR="00857B9F" w:rsidRPr="00B36AAB">
        <w:rPr>
          <w:rFonts w:ascii="Times New Roman" w:hAnsi="Times New Roman" w:cs="Times New Roman"/>
        </w:rPr>
        <w:t xml:space="preserve"> examination.</w:t>
      </w:r>
    </w:p>
  </w:footnote>
  <w:footnote w:id="2">
    <w:p w14:paraId="417E919F" w14:textId="6DC29C8D" w:rsidR="00F531DC" w:rsidRPr="00B36AAB" w:rsidRDefault="00F531DC">
      <w:pPr>
        <w:pStyle w:val="FootnoteText"/>
        <w:rPr>
          <w:rFonts w:ascii="Times New Roman" w:hAnsi="Times New Roman" w:cs="Times New Roman"/>
        </w:rPr>
      </w:pPr>
      <w:r w:rsidRPr="00B36AAB">
        <w:rPr>
          <w:rStyle w:val="FootnoteReference"/>
          <w:rFonts w:ascii="Times New Roman" w:hAnsi="Times New Roman" w:cs="Times New Roman"/>
        </w:rPr>
        <w:footnoteRef/>
      </w:r>
      <w:r w:rsidRPr="00B36AAB">
        <w:rPr>
          <w:rFonts w:ascii="Times New Roman" w:hAnsi="Times New Roman" w:cs="Times New Roman"/>
        </w:rPr>
        <w:t xml:space="preserve"> Day 3</w:t>
      </w:r>
    </w:p>
  </w:footnote>
  <w:footnote w:id="3">
    <w:p w14:paraId="416CFBE8" w14:textId="40456896" w:rsidR="00D7113E" w:rsidRPr="00B36AAB" w:rsidRDefault="00D7113E">
      <w:pPr>
        <w:pStyle w:val="FootnoteText"/>
        <w:rPr>
          <w:rFonts w:ascii="Times New Roman" w:hAnsi="Times New Roman" w:cs="Times New Roman"/>
        </w:rPr>
      </w:pPr>
      <w:r w:rsidRPr="00B36AAB">
        <w:rPr>
          <w:rStyle w:val="FootnoteReference"/>
          <w:rFonts w:ascii="Times New Roman" w:hAnsi="Times New Roman" w:cs="Times New Roman"/>
        </w:rPr>
        <w:footnoteRef/>
      </w:r>
      <w:r w:rsidRPr="00B36AAB">
        <w:rPr>
          <w:rFonts w:ascii="Times New Roman" w:hAnsi="Times New Roman" w:cs="Times New Roman"/>
        </w:rPr>
        <w:t xml:space="preserve"> CD7.13, paragraph [105].</w:t>
      </w:r>
    </w:p>
  </w:footnote>
  <w:footnote w:id="4">
    <w:p w14:paraId="520ED383" w14:textId="54A3ADA8" w:rsidR="00F531DC" w:rsidRPr="00B36AAB" w:rsidRDefault="00F531DC">
      <w:pPr>
        <w:pStyle w:val="FootnoteText"/>
        <w:rPr>
          <w:rFonts w:ascii="Times New Roman" w:hAnsi="Times New Roman" w:cs="Times New Roman"/>
        </w:rPr>
      </w:pPr>
      <w:r w:rsidRPr="00B36AAB">
        <w:rPr>
          <w:rStyle w:val="FootnoteReference"/>
          <w:rFonts w:ascii="Times New Roman" w:hAnsi="Times New Roman" w:cs="Times New Roman"/>
        </w:rPr>
        <w:footnoteRef/>
      </w:r>
      <w:r w:rsidRPr="00B36AAB">
        <w:rPr>
          <w:rFonts w:ascii="Times New Roman" w:hAnsi="Times New Roman" w:cs="Times New Roman"/>
        </w:rPr>
        <w:t xml:space="preserve"> </w:t>
      </w:r>
      <w:r w:rsidR="00A73777" w:rsidRPr="00B36AAB">
        <w:rPr>
          <w:rFonts w:ascii="Times New Roman" w:hAnsi="Times New Roman" w:cs="Times New Roman"/>
        </w:rPr>
        <w:t xml:space="preserve">ID:8 - </w:t>
      </w:r>
      <w:r w:rsidR="002E16F8" w:rsidRPr="00B36AAB">
        <w:rPr>
          <w:rFonts w:ascii="Times New Roman" w:hAnsi="Times New Roman" w:cs="Times New Roman"/>
        </w:rPr>
        <w:t>dated 06 June 2024 titled ‘Update on the Bromley Local Plan Review’,</w:t>
      </w:r>
    </w:p>
  </w:footnote>
  <w:footnote w:id="5">
    <w:p w14:paraId="3CDB3110" w14:textId="2C16C640" w:rsidR="002E16F8" w:rsidRPr="00B36AAB" w:rsidRDefault="002E16F8">
      <w:pPr>
        <w:pStyle w:val="FootnoteText"/>
        <w:rPr>
          <w:rFonts w:ascii="Times New Roman" w:hAnsi="Times New Roman" w:cs="Times New Roman"/>
        </w:rPr>
      </w:pPr>
      <w:r w:rsidRPr="00B36AAB">
        <w:rPr>
          <w:rStyle w:val="FootnoteReference"/>
          <w:rFonts w:ascii="Times New Roman" w:hAnsi="Times New Roman" w:cs="Times New Roman"/>
        </w:rPr>
        <w:footnoteRef/>
      </w:r>
      <w:r w:rsidRPr="00B36AAB">
        <w:rPr>
          <w:rFonts w:ascii="Times New Roman" w:hAnsi="Times New Roman" w:cs="Times New Roman"/>
        </w:rPr>
        <w:t xml:space="preserve"> </w:t>
      </w:r>
      <w:r w:rsidR="00C71D50" w:rsidRPr="00B36AAB">
        <w:rPr>
          <w:rFonts w:ascii="Times New Roman" w:hAnsi="Times New Roman" w:cs="Times New Roman"/>
        </w:rPr>
        <w:t>S</w:t>
      </w:r>
      <w:r w:rsidRPr="00B36AAB">
        <w:rPr>
          <w:rFonts w:ascii="Times New Roman" w:hAnsi="Times New Roman" w:cs="Times New Roman"/>
        </w:rPr>
        <w:t>ection 3.10</w:t>
      </w:r>
    </w:p>
  </w:footnote>
  <w:footnote w:id="6">
    <w:p w14:paraId="0F1FC821" w14:textId="35B22C22" w:rsidR="002E16F8" w:rsidRPr="00B36AAB" w:rsidRDefault="002E16F8">
      <w:pPr>
        <w:pStyle w:val="FootnoteText"/>
        <w:rPr>
          <w:rFonts w:ascii="Times New Roman" w:hAnsi="Times New Roman" w:cs="Times New Roman"/>
        </w:rPr>
      </w:pPr>
      <w:r w:rsidRPr="00B36AAB">
        <w:rPr>
          <w:rStyle w:val="FootnoteReference"/>
          <w:rFonts w:ascii="Times New Roman" w:hAnsi="Times New Roman" w:cs="Times New Roman"/>
        </w:rPr>
        <w:footnoteRef/>
      </w:r>
      <w:r w:rsidRPr="00B36AAB">
        <w:rPr>
          <w:rFonts w:ascii="Times New Roman" w:hAnsi="Times New Roman" w:cs="Times New Roman"/>
        </w:rPr>
        <w:t xml:space="preserve"> December 2023</w:t>
      </w:r>
    </w:p>
  </w:footnote>
  <w:footnote w:id="7">
    <w:p w14:paraId="4F87C5B3" w14:textId="63649E97" w:rsidR="002E16F8" w:rsidRPr="00B36AAB" w:rsidRDefault="002E16F8">
      <w:pPr>
        <w:pStyle w:val="FootnoteText"/>
        <w:rPr>
          <w:rFonts w:ascii="Times New Roman" w:hAnsi="Times New Roman" w:cs="Times New Roman"/>
        </w:rPr>
      </w:pPr>
      <w:r w:rsidRPr="00B36AAB">
        <w:rPr>
          <w:rStyle w:val="FootnoteReference"/>
          <w:rFonts w:ascii="Times New Roman" w:hAnsi="Times New Roman" w:cs="Times New Roman"/>
        </w:rPr>
        <w:footnoteRef/>
      </w:r>
      <w:r w:rsidRPr="00B36AAB">
        <w:rPr>
          <w:rFonts w:ascii="Times New Roman" w:hAnsi="Times New Roman" w:cs="Times New Roman"/>
        </w:rPr>
        <w:t xml:space="preserve"> CD11.1 at paragraph 7.10. The </w:t>
      </w:r>
      <w:r w:rsidR="002F4570" w:rsidRPr="00B36AAB">
        <w:rPr>
          <w:rFonts w:ascii="Times New Roman" w:hAnsi="Times New Roman" w:cs="Times New Roman"/>
        </w:rPr>
        <w:t xml:space="preserve">tilted balance </w:t>
      </w:r>
      <w:r w:rsidRPr="00B36AAB">
        <w:rPr>
          <w:rFonts w:ascii="Times New Roman" w:hAnsi="Times New Roman" w:cs="Times New Roman"/>
        </w:rPr>
        <w:t xml:space="preserve">footnote </w:t>
      </w:r>
      <w:r w:rsidR="002F4570" w:rsidRPr="00B36AAB">
        <w:rPr>
          <w:rFonts w:ascii="Times New Roman" w:hAnsi="Times New Roman" w:cs="Times New Roman"/>
        </w:rPr>
        <w:t>8</w:t>
      </w:r>
      <w:r w:rsidR="00542221" w:rsidRPr="00B36AAB">
        <w:rPr>
          <w:rFonts w:ascii="Times New Roman" w:hAnsi="Times New Roman" w:cs="Times New Roman"/>
        </w:rPr>
        <w:t xml:space="preserve"> NPPF</w:t>
      </w:r>
      <w:r w:rsidR="002F4570" w:rsidRPr="00B36AAB">
        <w:rPr>
          <w:rFonts w:ascii="Times New Roman" w:hAnsi="Times New Roman" w:cs="Times New Roman"/>
        </w:rPr>
        <w:t>.</w:t>
      </w:r>
    </w:p>
  </w:footnote>
  <w:footnote w:id="8">
    <w:p w14:paraId="63941715" w14:textId="299779B9" w:rsidR="00830F29" w:rsidRPr="00B36AAB" w:rsidRDefault="00830F29" w:rsidP="00830F29">
      <w:pPr>
        <w:pStyle w:val="FootnoteText"/>
        <w:rPr>
          <w:rFonts w:ascii="Times New Roman" w:hAnsi="Times New Roman" w:cs="Times New Roman"/>
        </w:rPr>
      </w:pPr>
      <w:r w:rsidRPr="00B36AAB">
        <w:rPr>
          <w:rStyle w:val="FootnoteReference"/>
          <w:rFonts w:ascii="Times New Roman" w:hAnsi="Times New Roman" w:cs="Times New Roman"/>
        </w:rPr>
        <w:footnoteRef/>
      </w:r>
      <w:r w:rsidRPr="00B36AAB">
        <w:rPr>
          <w:rFonts w:ascii="Times New Roman" w:hAnsi="Times New Roman" w:cs="Times New Roman"/>
        </w:rPr>
        <w:t xml:space="preserve"> CD11.2 at paragraphs 3.5-3.6. </w:t>
      </w:r>
    </w:p>
  </w:footnote>
  <w:footnote w:id="9">
    <w:p w14:paraId="4D40D083" w14:textId="05A51D32" w:rsidR="00830F29" w:rsidRPr="00B36AAB" w:rsidRDefault="00830F29" w:rsidP="00830F29">
      <w:pPr>
        <w:pStyle w:val="FootnoteText"/>
        <w:rPr>
          <w:rFonts w:ascii="Times New Roman" w:hAnsi="Times New Roman" w:cs="Times New Roman"/>
        </w:rPr>
      </w:pPr>
      <w:r w:rsidRPr="00B36AAB">
        <w:rPr>
          <w:rStyle w:val="FootnoteReference"/>
          <w:rFonts w:ascii="Times New Roman" w:hAnsi="Times New Roman" w:cs="Times New Roman"/>
        </w:rPr>
        <w:footnoteRef/>
      </w:r>
      <w:r w:rsidRPr="00B36AAB">
        <w:rPr>
          <w:rFonts w:ascii="Times New Roman" w:hAnsi="Times New Roman" w:cs="Times New Roman"/>
        </w:rPr>
        <w:t xml:space="preserve"> CD9.9B, item EP6 in the Appendices to Ben </w:t>
      </w:r>
      <w:proofErr w:type="spellStart"/>
      <w:r w:rsidRPr="00B36AAB">
        <w:rPr>
          <w:rFonts w:ascii="Times New Roman" w:hAnsi="Times New Roman" w:cs="Times New Roman"/>
        </w:rPr>
        <w:t>Py</w:t>
      </w:r>
      <w:r w:rsidR="00CE79BF" w:rsidRPr="00B36AAB">
        <w:rPr>
          <w:rFonts w:ascii="Times New Roman" w:hAnsi="Times New Roman" w:cs="Times New Roman"/>
        </w:rPr>
        <w:t>c</w:t>
      </w:r>
      <w:r w:rsidRPr="00B36AAB">
        <w:rPr>
          <w:rFonts w:ascii="Times New Roman" w:hAnsi="Times New Roman" w:cs="Times New Roman"/>
        </w:rPr>
        <w:t>roft’s</w:t>
      </w:r>
      <w:proofErr w:type="spellEnd"/>
      <w:r w:rsidRPr="00B36AAB">
        <w:rPr>
          <w:rFonts w:ascii="Times New Roman" w:hAnsi="Times New Roman" w:cs="Times New Roman"/>
        </w:rPr>
        <w:t xml:space="preserve"> proof</w:t>
      </w:r>
    </w:p>
  </w:footnote>
  <w:footnote w:id="10">
    <w:p w14:paraId="4A8C129F" w14:textId="4B2789E6" w:rsidR="00830F29" w:rsidRPr="00B36AAB" w:rsidRDefault="00830F29" w:rsidP="00830F29">
      <w:pPr>
        <w:pStyle w:val="FootnoteText"/>
        <w:rPr>
          <w:rFonts w:ascii="Times New Roman" w:hAnsi="Times New Roman" w:cs="Times New Roman"/>
        </w:rPr>
      </w:pPr>
      <w:r w:rsidRPr="00B36AAB">
        <w:rPr>
          <w:rStyle w:val="FootnoteReference"/>
          <w:rFonts w:ascii="Times New Roman" w:hAnsi="Times New Roman" w:cs="Times New Roman"/>
        </w:rPr>
        <w:footnoteRef/>
      </w:r>
      <w:r w:rsidRPr="00B36AAB">
        <w:rPr>
          <w:rFonts w:ascii="Times New Roman" w:hAnsi="Times New Roman" w:cs="Times New Roman"/>
        </w:rPr>
        <w:t xml:space="preserve"> In cross examination on </w:t>
      </w:r>
      <w:r w:rsidR="003006E3" w:rsidRPr="00B36AAB">
        <w:rPr>
          <w:rFonts w:ascii="Times New Roman" w:hAnsi="Times New Roman" w:cs="Times New Roman"/>
        </w:rPr>
        <w:t>D</w:t>
      </w:r>
      <w:r w:rsidRPr="00B36AAB">
        <w:rPr>
          <w:rFonts w:ascii="Times New Roman" w:hAnsi="Times New Roman" w:cs="Times New Roman"/>
        </w:rPr>
        <w:t>ay 2</w:t>
      </w:r>
    </w:p>
  </w:footnote>
  <w:footnote w:id="11">
    <w:p w14:paraId="0716B245" w14:textId="716011FF" w:rsidR="006479C7" w:rsidRPr="00B36AAB" w:rsidRDefault="006479C7">
      <w:pPr>
        <w:pStyle w:val="FootnoteText"/>
        <w:rPr>
          <w:rFonts w:ascii="Times New Roman" w:hAnsi="Times New Roman" w:cs="Times New Roman"/>
        </w:rPr>
      </w:pPr>
      <w:r w:rsidRPr="00B36AAB">
        <w:rPr>
          <w:rStyle w:val="FootnoteReference"/>
          <w:rFonts w:ascii="Times New Roman" w:hAnsi="Times New Roman" w:cs="Times New Roman"/>
        </w:rPr>
        <w:footnoteRef/>
      </w:r>
      <w:r w:rsidRPr="00B36AAB">
        <w:rPr>
          <w:rFonts w:ascii="Times New Roman" w:hAnsi="Times New Roman" w:cs="Times New Roman"/>
        </w:rPr>
        <w:t xml:space="preserve"> CD4.3.</w:t>
      </w:r>
    </w:p>
  </w:footnote>
  <w:footnote w:id="12">
    <w:p w14:paraId="32A47E55" w14:textId="1D697013" w:rsidR="006479C7" w:rsidRPr="00B36AAB" w:rsidRDefault="006479C7">
      <w:pPr>
        <w:pStyle w:val="FootnoteText"/>
        <w:rPr>
          <w:rFonts w:ascii="Times New Roman" w:hAnsi="Times New Roman" w:cs="Times New Roman"/>
        </w:rPr>
      </w:pPr>
      <w:r w:rsidRPr="00B36AAB">
        <w:rPr>
          <w:rStyle w:val="FootnoteReference"/>
          <w:rFonts w:ascii="Times New Roman" w:hAnsi="Times New Roman" w:cs="Times New Roman"/>
        </w:rPr>
        <w:footnoteRef/>
      </w:r>
      <w:r w:rsidRPr="00B36AAB">
        <w:rPr>
          <w:rFonts w:ascii="Times New Roman" w:hAnsi="Times New Roman" w:cs="Times New Roman"/>
        </w:rPr>
        <w:t xml:space="preserve"> CD4.3, paragraph 4.10.4</w:t>
      </w:r>
    </w:p>
  </w:footnote>
  <w:footnote w:id="13">
    <w:p w14:paraId="2CD5F1AD" w14:textId="67CCC45A" w:rsidR="008A0DBC" w:rsidRPr="00B36AAB" w:rsidRDefault="008A0DBC">
      <w:pPr>
        <w:pStyle w:val="FootnoteText"/>
        <w:rPr>
          <w:rFonts w:ascii="Times New Roman" w:hAnsi="Times New Roman" w:cs="Times New Roman"/>
        </w:rPr>
      </w:pPr>
      <w:r w:rsidRPr="00B36AAB">
        <w:rPr>
          <w:rStyle w:val="FootnoteReference"/>
          <w:rFonts w:ascii="Times New Roman" w:hAnsi="Times New Roman" w:cs="Times New Roman"/>
        </w:rPr>
        <w:footnoteRef/>
      </w:r>
      <w:r w:rsidRPr="00B36AAB">
        <w:rPr>
          <w:rFonts w:ascii="Times New Roman" w:hAnsi="Times New Roman" w:cs="Times New Roman"/>
        </w:rPr>
        <w:t xml:space="preserve"> CD4.1 at paragraph 2.1.17</w:t>
      </w:r>
    </w:p>
  </w:footnote>
  <w:footnote w:id="14">
    <w:p w14:paraId="47BF1B1C" w14:textId="3E66C849" w:rsidR="008A0DBC" w:rsidRPr="00B36AAB" w:rsidRDefault="008A0DBC">
      <w:pPr>
        <w:pStyle w:val="FootnoteText"/>
        <w:rPr>
          <w:rFonts w:ascii="Times New Roman" w:hAnsi="Times New Roman" w:cs="Times New Roman"/>
        </w:rPr>
      </w:pPr>
      <w:r w:rsidRPr="00B36AAB">
        <w:rPr>
          <w:rStyle w:val="FootnoteReference"/>
          <w:rFonts w:ascii="Times New Roman" w:hAnsi="Times New Roman" w:cs="Times New Roman"/>
        </w:rPr>
        <w:footnoteRef/>
      </w:r>
      <w:r w:rsidRPr="00B36AAB">
        <w:rPr>
          <w:rFonts w:ascii="Times New Roman" w:hAnsi="Times New Roman" w:cs="Times New Roman"/>
        </w:rPr>
        <w:t xml:space="preserve"> CD4.1 at paragraph 2.1.30</w:t>
      </w:r>
    </w:p>
  </w:footnote>
  <w:footnote w:id="15">
    <w:p w14:paraId="3B35D9FE" w14:textId="28BC1870" w:rsidR="00066210" w:rsidRPr="00B36AAB" w:rsidRDefault="00066210" w:rsidP="00066210">
      <w:pPr>
        <w:pStyle w:val="FootnoteText"/>
        <w:rPr>
          <w:rFonts w:ascii="Times New Roman" w:hAnsi="Times New Roman" w:cs="Times New Roman"/>
        </w:rPr>
      </w:pPr>
      <w:r w:rsidRPr="00B36AAB">
        <w:rPr>
          <w:rStyle w:val="FootnoteReference"/>
          <w:rFonts w:ascii="Times New Roman" w:hAnsi="Times New Roman" w:cs="Times New Roman"/>
        </w:rPr>
        <w:footnoteRef/>
      </w:r>
      <w:r w:rsidRPr="00B36AAB">
        <w:rPr>
          <w:rFonts w:ascii="Times New Roman" w:hAnsi="Times New Roman" w:cs="Times New Roman"/>
        </w:rPr>
        <w:t xml:space="preserve"> Day 2</w:t>
      </w:r>
    </w:p>
  </w:footnote>
  <w:footnote w:id="16">
    <w:p w14:paraId="5C9D0343" w14:textId="77777777" w:rsidR="00E8685F" w:rsidRPr="00B36AAB" w:rsidRDefault="00E8685F" w:rsidP="00E8685F">
      <w:pPr>
        <w:pStyle w:val="FootnoteText"/>
        <w:rPr>
          <w:rFonts w:ascii="Times New Roman" w:hAnsi="Times New Roman" w:cs="Times New Roman"/>
        </w:rPr>
      </w:pPr>
      <w:r w:rsidRPr="00B36AAB">
        <w:rPr>
          <w:rStyle w:val="FootnoteReference"/>
          <w:rFonts w:ascii="Times New Roman" w:hAnsi="Times New Roman" w:cs="Times New Roman"/>
        </w:rPr>
        <w:footnoteRef/>
      </w:r>
      <w:r w:rsidRPr="00B36AAB">
        <w:rPr>
          <w:rFonts w:ascii="Times New Roman" w:hAnsi="Times New Roman" w:cs="Times New Roman"/>
        </w:rPr>
        <w:t xml:space="preserve"> CD10.6 on page 6</w:t>
      </w:r>
    </w:p>
  </w:footnote>
  <w:footnote w:id="17">
    <w:p w14:paraId="37B9C0FA" w14:textId="5A815CEA" w:rsidR="008A0DBC" w:rsidRPr="00B36AAB" w:rsidRDefault="008A0DBC">
      <w:pPr>
        <w:pStyle w:val="FootnoteText"/>
        <w:rPr>
          <w:rFonts w:ascii="Times New Roman" w:hAnsi="Times New Roman" w:cs="Times New Roman"/>
        </w:rPr>
      </w:pPr>
      <w:r w:rsidRPr="00B36AAB">
        <w:rPr>
          <w:rStyle w:val="FootnoteReference"/>
          <w:rFonts w:ascii="Times New Roman" w:hAnsi="Times New Roman" w:cs="Times New Roman"/>
        </w:rPr>
        <w:footnoteRef/>
      </w:r>
      <w:r w:rsidRPr="00B36AAB">
        <w:rPr>
          <w:rFonts w:ascii="Times New Roman" w:hAnsi="Times New Roman" w:cs="Times New Roman"/>
        </w:rPr>
        <w:t xml:space="preserve"> CD10.6 on page 5</w:t>
      </w:r>
    </w:p>
  </w:footnote>
  <w:footnote w:id="18">
    <w:p w14:paraId="479C6BC3" w14:textId="37831B4D" w:rsidR="001C2C9B" w:rsidRPr="00B36AAB" w:rsidRDefault="001C2C9B">
      <w:pPr>
        <w:pStyle w:val="FootnoteText"/>
        <w:rPr>
          <w:rFonts w:ascii="Times New Roman" w:hAnsi="Times New Roman" w:cs="Times New Roman"/>
        </w:rPr>
      </w:pPr>
      <w:r w:rsidRPr="00B36AAB">
        <w:rPr>
          <w:rStyle w:val="FootnoteReference"/>
          <w:rFonts w:ascii="Times New Roman" w:hAnsi="Times New Roman" w:cs="Times New Roman"/>
        </w:rPr>
        <w:footnoteRef/>
      </w:r>
      <w:r w:rsidRPr="00B36AAB">
        <w:rPr>
          <w:rFonts w:ascii="Times New Roman" w:hAnsi="Times New Roman" w:cs="Times New Roman"/>
        </w:rPr>
        <w:t xml:space="preserve"> Day 2</w:t>
      </w:r>
    </w:p>
  </w:footnote>
  <w:footnote w:id="19">
    <w:p w14:paraId="7A48839F" w14:textId="6F612017" w:rsidR="008A0DBC" w:rsidRPr="00B36AAB" w:rsidRDefault="008A0DBC">
      <w:pPr>
        <w:pStyle w:val="FootnoteText"/>
        <w:rPr>
          <w:rFonts w:ascii="Times New Roman" w:hAnsi="Times New Roman" w:cs="Times New Roman"/>
        </w:rPr>
      </w:pPr>
      <w:r w:rsidRPr="00B36AAB">
        <w:rPr>
          <w:rStyle w:val="FootnoteReference"/>
          <w:rFonts w:ascii="Times New Roman" w:hAnsi="Times New Roman" w:cs="Times New Roman"/>
        </w:rPr>
        <w:footnoteRef/>
      </w:r>
      <w:r w:rsidRPr="00B36AAB">
        <w:rPr>
          <w:rFonts w:ascii="Times New Roman" w:hAnsi="Times New Roman" w:cs="Times New Roman"/>
        </w:rPr>
        <w:t xml:space="preserve"> CD10.6 paragraph 2.6</w:t>
      </w:r>
    </w:p>
  </w:footnote>
  <w:footnote w:id="20">
    <w:p w14:paraId="779FCF8A" w14:textId="263A04F1" w:rsidR="00207802" w:rsidRPr="00B36AAB" w:rsidRDefault="00207802">
      <w:pPr>
        <w:pStyle w:val="FootnoteText"/>
        <w:rPr>
          <w:rFonts w:ascii="Times New Roman" w:hAnsi="Times New Roman" w:cs="Times New Roman"/>
        </w:rPr>
      </w:pPr>
      <w:r w:rsidRPr="00B36AAB">
        <w:rPr>
          <w:rStyle w:val="FootnoteReference"/>
          <w:rFonts w:ascii="Times New Roman" w:hAnsi="Times New Roman" w:cs="Times New Roman"/>
        </w:rPr>
        <w:footnoteRef/>
      </w:r>
      <w:r w:rsidRPr="00B36AAB">
        <w:rPr>
          <w:rFonts w:ascii="Times New Roman" w:hAnsi="Times New Roman" w:cs="Times New Roman"/>
        </w:rPr>
        <w:t xml:space="preserve"> Day 2</w:t>
      </w:r>
    </w:p>
  </w:footnote>
  <w:footnote w:id="21">
    <w:p w14:paraId="6F9A30B8" w14:textId="49E0BEF3" w:rsidR="00840DA5" w:rsidRPr="00B36AAB" w:rsidRDefault="00840DA5">
      <w:pPr>
        <w:pStyle w:val="FootnoteText"/>
        <w:rPr>
          <w:rFonts w:ascii="Times New Roman" w:hAnsi="Times New Roman" w:cs="Times New Roman"/>
        </w:rPr>
      </w:pPr>
      <w:r w:rsidRPr="00B36AAB">
        <w:rPr>
          <w:rStyle w:val="FootnoteReference"/>
          <w:rFonts w:ascii="Times New Roman" w:hAnsi="Times New Roman" w:cs="Times New Roman"/>
        </w:rPr>
        <w:footnoteRef/>
      </w:r>
      <w:r w:rsidRPr="00B36AAB">
        <w:rPr>
          <w:rFonts w:ascii="Times New Roman" w:hAnsi="Times New Roman" w:cs="Times New Roman"/>
        </w:rPr>
        <w:t xml:space="preserve"> Day 3</w:t>
      </w:r>
    </w:p>
  </w:footnote>
  <w:footnote w:id="22">
    <w:p w14:paraId="53B8AF67" w14:textId="7084864C" w:rsidR="00840DA5" w:rsidRPr="00B36AAB" w:rsidRDefault="00840DA5">
      <w:pPr>
        <w:pStyle w:val="FootnoteText"/>
        <w:rPr>
          <w:rFonts w:ascii="Times New Roman" w:hAnsi="Times New Roman" w:cs="Times New Roman"/>
        </w:rPr>
      </w:pPr>
      <w:r w:rsidRPr="00B36AAB">
        <w:rPr>
          <w:rStyle w:val="FootnoteReference"/>
          <w:rFonts w:ascii="Times New Roman" w:hAnsi="Times New Roman" w:cs="Times New Roman"/>
        </w:rPr>
        <w:footnoteRef/>
      </w:r>
      <w:r w:rsidRPr="00B36AAB">
        <w:rPr>
          <w:rFonts w:ascii="Times New Roman" w:hAnsi="Times New Roman" w:cs="Times New Roman"/>
        </w:rPr>
        <w:t xml:space="preserve"> Day 2</w:t>
      </w:r>
    </w:p>
  </w:footnote>
  <w:footnote w:id="23">
    <w:p w14:paraId="165272F0" w14:textId="79030344" w:rsidR="00EB2F99" w:rsidRPr="00B36AAB" w:rsidRDefault="00EB2F99">
      <w:pPr>
        <w:pStyle w:val="FootnoteText"/>
        <w:rPr>
          <w:rFonts w:ascii="Times New Roman" w:hAnsi="Times New Roman" w:cs="Times New Roman"/>
        </w:rPr>
      </w:pPr>
      <w:r w:rsidRPr="00B36AAB">
        <w:rPr>
          <w:rStyle w:val="FootnoteReference"/>
          <w:rFonts w:ascii="Times New Roman" w:hAnsi="Times New Roman" w:cs="Times New Roman"/>
        </w:rPr>
        <w:footnoteRef/>
      </w:r>
      <w:r w:rsidRPr="00B36AAB">
        <w:rPr>
          <w:rFonts w:ascii="Times New Roman" w:hAnsi="Times New Roman" w:cs="Times New Roman"/>
        </w:rPr>
        <w:t xml:space="preserve"> CD6.6, ‘Making Bromley Even Better 2021 – 2036 - Our Corporate Strategy’, at page 23.</w:t>
      </w:r>
    </w:p>
  </w:footnote>
  <w:footnote w:id="24">
    <w:p w14:paraId="30F9E79D" w14:textId="512041B3" w:rsidR="007A171E" w:rsidRPr="00B36AAB" w:rsidRDefault="007A171E" w:rsidP="007A171E">
      <w:pPr>
        <w:pStyle w:val="FootnoteText"/>
        <w:rPr>
          <w:rFonts w:ascii="Times New Roman" w:hAnsi="Times New Roman" w:cs="Times New Roman"/>
        </w:rPr>
      </w:pPr>
      <w:r w:rsidRPr="00B36AAB">
        <w:rPr>
          <w:rStyle w:val="FootnoteReference"/>
          <w:rFonts w:ascii="Times New Roman" w:hAnsi="Times New Roman" w:cs="Times New Roman"/>
        </w:rPr>
        <w:footnoteRef/>
      </w:r>
      <w:r w:rsidRPr="00B36AAB">
        <w:rPr>
          <w:rFonts w:ascii="Times New Roman" w:hAnsi="Times New Roman" w:cs="Times New Roman"/>
        </w:rPr>
        <w:t xml:space="preserve"> CD6.7, ‘London Borough of Bromley Housing Strategy 2019 – 2029’, at page 23.</w:t>
      </w:r>
    </w:p>
  </w:footnote>
  <w:footnote w:id="25">
    <w:p w14:paraId="23D6B913" w14:textId="3DDD6D76" w:rsidR="007A171E" w:rsidRPr="00B36AAB" w:rsidRDefault="007A171E">
      <w:pPr>
        <w:pStyle w:val="FootnoteText"/>
        <w:rPr>
          <w:rFonts w:ascii="Times New Roman" w:hAnsi="Times New Roman" w:cs="Times New Roman"/>
        </w:rPr>
      </w:pPr>
      <w:r w:rsidRPr="00B36AAB">
        <w:rPr>
          <w:rStyle w:val="FootnoteReference"/>
          <w:rFonts w:ascii="Times New Roman" w:hAnsi="Times New Roman" w:cs="Times New Roman"/>
        </w:rPr>
        <w:footnoteRef/>
      </w:r>
      <w:r w:rsidRPr="00B36AAB">
        <w:rPr>
          <w:rFonts w:ascii="Times New Roman" w:hAnsi="Times New Roman" w:cs="Times New Roman"/>
        </w:rPr>
        <w:t xml:space="preserve"> Day 1</w:t>
      </w:r>
    </w:p>
  </w:footnote>
  <w:footnote w:id="26">
    <w:p w14:paraId="72BD762C" w14:textId="367355F3" w:rsidR="003340FD" w:rsidRPr="00B36AAB" w:rsidRDefault="003340FD">
      <w:pPr>
        <w:pStyle w:val="FootnoteText"/>
        <w:rPr>
          <w:rFonts w:ascii="Times New Roman" w:hAnsi="Times New Roman" w:cs="Times New Roman"/>
        </w:rPr>
      </w:pPr>
      <w:r w:rsidRPr="00B36AAB">
        <w:rPr>
          <w:rStyle w:val="FootnoteReference"/>
          <w:rFonts w:ascii="Times New Roman" w:hAnsi="Times New Roman" w:cs="Times New Roman"/>
        </w:rPr>
        <w:footnoteRef/>
      </w:r>
      <w:r w:rsidRPr="00B36AAB">
        <w:rPr>
          <w:rFonts w:ascii="Times New Roman" w:hAnsi="Times New Roman" w:cs="Times New Roman"/>
        </w:rPr>
        <w:t xml:space="preserve"> </w:t>
      </w:r>
      <w:r w:rsidR="00AA0C5B" w:rsidRPr="00B36AAB">
        <w:rPr>
          <w:rFonts w:ascii="Times New Roman" w:hAnsi="Times New Roman" w:cs="Times New Roman"/>
        </w:rPr>
        <w:t xml:space="preserve">Day </w:t>
      </w:r>
      <w:r w:rsidRPr="00B36AAB">
        <w:rPr>
          <w:rFonts w:ascii="Times New Roman" w:hAnsi="Times New Roman" w:cs="Times New Roman"/>
        </w:rPr>
        <w:t>4</w:t>
      </w:r>
    </w:p>
  </w:footnote>
  <w:footnote w:id="27">
    <w:p w14:paraId="331E98EC" w14:textId="56D77C0C" w:rsidR="00920036" w:rsidRPr="00B36AAB" w:rsidRDefault="00920036">
      <w:pPr>
        <w:pStyle w:val="FootnoteText"/>
        <w:rPr>
          <w:rFonts w:ascii="Times New Roman" w:hAnsi="Times New Roman" w:cs="Times New Roman"/>
        </w:rPr>
      </w:pPr>
      <w:r w:rsidRPr="00B36AAB">
        <w:rPr>
          <w:rStyle w:val="FootnoteReference"/>
          <w:rFonts w:ascii="Times New Roman" w:hAnsi="Times New Roman" w:cs="Times New Roman"/>
        </w:rPr>
        <w:footnoteRef/>
      </w:r>
      <w:r w:rsidRPr="00B36AAB">
        <w:rPr>
          <w:rFonts w:ascii="Times New Roman" w:hAnsi="Times New Roman" w:cs="Times New Roman"/>
        </w:rPr>
        <w:t xml:space="preserve"> </w:t>
      </w:r>
      <w:r w:rsidR="004803FB" w:rsidRPr="00B36AAB">
        <w:rPr>
          <w:rFonts w:ascii="Times New Roman" w:hAnsi="Times New Roman" w:cs="Times New Roman"/>
        </w:rPr>
        <w:t>CD10.2, section 4</w:t>
      </w:r>
    </w:p>
  </w:footnote>
  <w:footnote w:id="28">
    <w:p w14:paraId="1D3A088A" w14:textId="5EEA190F" w:rsidR="00854050" w:rsidRPr="00B36AAB" w:rsidRDefault="00854050">
      <w:pPr>
        <w:pStyle w:val="FootnoteText"/>
        <w:rPr>
          <w:rFonts w:ascii="Times New Roman" w:hAnsi="Times New Roman" w:cs="Times New Roman"/>
        </w:rPr>
      </w:pPr>
      <w:r w:rsidRPr="00B36AAB">
        <w:rPr>
          <w:rStyle w:val="FootnoteReference"/>
          <w:rFonts w:ascii="Times New Roman" w:hAnsi="Times New Roman" w:cs="Times New Roman"/>
        </w:rPr>
        <w:footnoteRef/>
      </w:r>
      <w:r w:rsidRPr="00B36AAB">
        <w:rPr>
          <w:rFonts w:ascii="Times New Roman" w:hAnsi="Times New Roman" w:cs="Times New Roman"/>
        </w:rPr>
        <w:t xml:space="preserve"> CD10.2, section 4.</w:t>
      </w:r>
      <w:r w:rsidR="00645538" w:rsidRPr="00B36AAB">
        <w:rPr>
          <w:rFonts w:ascii="Times New Roman" w:hAnsi="Times New Roman" w:cs="Times New Roman"/>
        </w:rPr>
        <w:t>4 to 4.16</w:t>
      </w:r>
    </w:p>
  </w:footnote>
  <w:footnote w:id="29">
    <w:p w14:paraId="3F6D13F6" w14:textId="42F69F2C" w:rsidR="008325FD" w:rsidRPr="00B36AAB" w:rsidRDefault="008325FD">
      <w:pPr>
        <w:pStyle w:val="FootnoteText"/>
        <w:rPr>
          <w:rFonts w:ascii="Times New Roman" w:hAnsi="Times New Roman" w:cs="Times New Roman"/>
        </w:rPr>
      </w:pPr>
      <w:r w:rsidRPr="00B36AAB">
        <w:rPr>
          <w:rStyle w:val="FootnoteReference"/>
          <w:rFonts w:ascii="Times New Roman" w:hAnsi="Times New Roman" w:cs="Times New Roman"/>
        </w:rPr>
        <w:footnoteRef/>
      </w:r>
      <w:r w:rsidRPr="00B36AAB">
        <w:rPr>
          <w:rFonts w:ascii="Times New Roman" w:hAnsi="Times New Roman" w:cs="Times New Roman"/>
        </w:rPr>
        <w:t xml:space="preserve"> </w:t>
      </w:r>
      <w:r w:rsidR="00611459" w:rsidRPr="00B36AAB">
        <w:rPr>
          <w:rFonts w:ascii="Times New Roman" w:hAnsi="Times New Roman" w:cs="Times New Roman"/>
        </w:rPr>
        <w:t>CD10.2, paragraphs 4.17 – 4.29.</w:t>
      </w:r>
    </w:p>
  </w:footnote>
  <w:footnote w:id="30">
    <w:p w14:paraId="643406F9" w14:textId="560021B0" w:rsidR="0026451D" w:rsidRPr="00B36AAB" w:rsidRDefault="0026451D">
      <w:pPr>
        <w:pStyle w:val="FootnoteText"/>
        <w:rPr>
          <w:rFonts w:ascii="Times New Roman" w:hAnsi="Times New Roman" w:cs="Times New Roman"/>
        </w:rPr>
      </w:pPr>
      <w:r w:rsidRPr="00B36AAB">
        <w:rPr>
          <w:rStyle w:val="FootnoteReference"/>
          <w:rFonts w:ascii="Times New Roman" w:hAnsi="Times New Roman" w:cs="Times New Roman"/>
        </w:rPr>
        <w:footnoteRef/>
      </w:r>
      <w:r w:rsidRPr="00B36AAB">
        <w:rPr>
          <w:rFonts w:ascii="Times New Roman" w:hAnsi="Times New Roman" w:cs="Times New Roman"/>
        </w:rPr>
        <w:t xml:space="preserve"> Day 4</w:t>
      </w:r>
    </w:p>
  </w:footnote>
  <w:footnote w:id="31">
    <w:p w14:paraId="0A4B6B77" w14:textId="6ECC99E9" w:rsidR="0026451D" w:rsidRPr="00B36AAB" w:rsidRDefault="0026451D">
      <w:pPr>
        <w:pStyle w:val="FootnoteText"/>
        <w:rPr>
          <w:rFonts w:ascii="Times New Roman" w:hAnsi="Times New Roman" w:cs="Times New Roman"/>
        </w:rPr>
      </w:pPr>
      <w:r w:rsidRPr="00B36AAB">
        <w:rPr>
          <w:rStyle w:val="FootnoteReference"/>
          <w:rFonts w:ascii="Times New Roman" w:hAnsi="Times New Roman" w:cs="Times New Roman"/>
        </w:rPr>
        <w:footnoteRef/>
      </w:r>
      <w:r w:rsidRPr="00B36AAB">
        <w:rPr>
          <w:rFonts w:ascii="Times New Roman" w:hAnsi="Times New Roman" w:cs="Times New Roman"/>
        </w:rPr>
        <w:t xml:space="preserve"> CD8.13 is a drawing showing these windows and the surrounding buildings very clearly.</w:t>
      </w:r>
    </w:p>
  </w:footnote>
  <w:footnote w:id="32">
    <w:p w14:paraId="237ECFC3" w14:textId="75D5D114" w:rsidR="007C7557" w:rsidRPr="00B36AAB" w:rsidRDefault="007C7557">
      <w:pPr>
        <w:pStyle w:val="FootnoteText"/>
        <w:rPr>
          <w:rFonts w:ascii="Times New Roman" w:hAnsi="Times New Roman" w:cs="Times New Roman"/>
        </w:rPr>
      </w:pPr>
      <w:r w:rsidRPr="00B36AAB">
        <w:rPr>
          <w:rStyle w:val="FootnoteReference"/>
          <w:rFonts w:ascii="Times New Roman" w:hAnsi="Times New Roman" w:cs="Times New Roman"/>
        </w:rPr>
        <w:footnoteRef/>
      </w:r>
      <w:r w:rsidRPr="00B36AAB">
        <w:rPr>
          <w:rFonts w:ascii="Times New Roman" w:hAnsi="Times New Roman" w:cs="Times New Roman"/>
        </w:rPr>
        <w:t xml:space="preserve"> </w:t>
      </w:r>
      <w:r w:rsidR="00660E4B" w:rsidRPr="00B36AAB">
        <w:rPr>
          <w:rFonts w:ascii="Times New Roman" w:hAnsi="Times New Roman" w:cs="Times New Roman"/>
        </w:rPr>
        <w:t>CD10.2, p</w:t>
      </w:r>
      <w:r w:rsidR="009525E5" w:rsidRPr="00B36AAB">
        <w:rPr>
          <w:rFonts w:ascii="Times New Roman" w:hAnsi="Times New Roman" w:cs="Times New Roman"/>
        </w:rPr>
        <w:t>ara 4.27</w:t>
      </w:r>
    </w:p>
  </w:footnote>
  <w:footnote w:id="33">
    <w:p w14:paraId="490782A6" w14:textId="53788B96" w:rsidR="000B478B" w:rsidRPr="00B36AAB" w:rsidRDefault="000B478B">
      <w:pPr>
        <w:pStyle w:val="FootnoteText"/>
        <w:rPr>
          <w:rFonts w:ascii="Times New Roman" w:hAnsi="Times New Roman" w:cs="Times New Roman"/>
        </w:rPr>
      </w:pPr>
      <w:r w:rsidRPr="00B36AAB">
        <w:rPr>
          <w:rStyle w:val="FootnoteReference"/>
          <w:rFonts w:ascii="Times New Roman" w:hAnsi="Times New Roman" w:cs="Times New Roman"/>
        </w:rPr>
        <w:footnoteRef/>
      </w:r>
      <w:r w:rsidRPr="00B36AAB">
        <w:rPr>
          <w:rFonts w:ascii="Times New Roman" w:hAnsi="Times New Roman" w:cs="Times New Roman"/>
        </w:rPr>
        <w:t xml:space="preserve"> </w:t>
      </w:r>
      <w:r w:rsidR="00660E4B" w:rsidRPr="00B36AAB">
        <w:rPr>
          <w:rFonts w:ascii="Times New Roman" w:hAnsi="Times New Roman" w:cs="Times New Roman"/>
        </w:rPr>
        <w:t>CD10.2, p</w:t>
      </w:r>
      <w:r w:rsidR="002A0DFA" w:rsidRPr="00B36AAB">
        <w:rPr>
          <w:rFonts w:ascii="Times New Roman" w:hAnsi="Times New Roman" w:cs="Times New Roman"/>
        </w:rPr>
        <w:t>ara 4.28</w:t>
      </w:r>
    </w:p>
  </w:footnote>
  <w:footnote w:id="34">
    <w:p w14:paraId="5FE2F4B6" w14:textId="0E3FB886" w:rsidR="00FB0247" w:rsidRPr="00B36AAB" w:rsidRDefault="00FB0247">
      <w:pPr>
        <w:pStyle w:val="FootnoteText"/>
        <w:rPr>
          <w:rFonts w:ascii="Times New Roman" w:hAnsi="Times New Roman" w:cs="Times New Roman"/>
        </w:rPr>
      </w:pPr>
      <w:r w:rsidRPr="00B36AAB">
        <w:rPr>
          <w:rStyle w:val="FootnoteReference"/>
          <w:rFonts w:ascii="Times New Roman" w:hAnsi="Times New Roman" w:cs="Times New Roman"/>
        </w:rPr>
        <w:footnoteRef/>
      </w:r>
      <w:r w:rsidRPr="00B36AAB">
        <w:rPr>
          <w:rFonts w:ascii="Times New Roman" w:hAnsi="Times New Roman" w:cs="Times New Roman"/>
        </w:rPr>
        <w:t xml:space="preserve"> </w:t>
      </w:r>
      <w:r w:rsidR="00835088" w:rsidRPr="00B36AAB">
        <w:rPr>
          <w:rFonts w:ascii="Times New Roman" w:hAnsi="Times New Roman" w:cs="Times New Roman"/>
        </w:rPr>
        <w:t xml:space="preserve">CD10.5b: Section </w:t>
      </w:r>
      <w:r w:rsidRPr="00B36AAB">
        <w:rPr>
          <w:rFonts w:ascii="Times New Roman" w:hAnsi="Times New Roman" w:cs="Times New Roman"/>
        </w:rPr>
        <w:t>1.3 of</w:t>
      </w:r>
      <w:r w:rsidR="00835088" w:rsidRPr="00B36AAB">
        <w:rPr>
          <w:rFonts w:ascii="Times New Roman" w:hAnsi="Times New Roman" w:cs="Times New Roman"/>
        </w:rPr>
        <w:t xml:space="preserve"> Rebuttal of</w:t>
      </w:r>
      <w:r w:rsidRPr="00B36AAB">
        <w:rPr>
          <w:rFonts w:ascii="Times New Roman" w:hAnsi="Times New Roman" w:cs="Times New Roman"/>
        </w:rPr>
        <w:t xml:space="preserve"> Dan</w:t>
      </w:r>
      <w:r w:rsidR="00835088" w:rsidRPr="00B36AAB">
        <w:rPr>
          <w:rFonts w:ascii="Times New Roman" w:hAnsi="Times New Roman" w:cs="Times New Roman"/>
        </w:rPr>
        <w:t xml:space="preserve"> Wade</w:t>
      </w:r>
    </w:p>
  </w:footnote>
  <w:footnote w:id="35">
    <w:p w14:paraId="62001076" w14:textId="7CA4D568" w:rsidR="001A2C06" w:rsidRPr="00B36AAB" w:rsidRDefault="001A2C06" w:rsidP="001A2C06">
      <w:pPr>
        <w:pStyle w:val="FootnoteText"/>
        <w:rPr>
          <w:rFonts w:ascii="Times New Roman" w:hAnsi="Times New Roman" w:cs="Times New Roman"/>
        </w:rPr>
      </w:pPr>
      <w:r w:rsidRPr="00B36AAB">
        <w:rPr>
          <w:rStyle w:val="FootnoteReference"/>
          <w:rFonts w:ascii="Times New Roman" w:hAnsi="Times New Roman" w:cs="Times New Roman"/>
        </w:rPr>
        <w:footnoteRef/>
      </w:r>
      <w:r w:rsidRPr="00B36AAB">
        <w:rPr>
          <w:rFonts w:ascii="Times New Roman" w:hAnsi="Times New Roman" w:cs="Times New Roman"/>
        </w:rPr>
        <w:t xml:space="preserve"> </w:t>
      </w:r>
      <w:r w:rsidR="000F0015" w:rsidRPr="00B36AAB">
        <w:rPr>
          <w:rFonts w:ascii="Times New Roman" w:hAnsi="Times New Roman" w:cs="Times New Roman"/>
        </w:rPr>
        <w:t>CD9.1, para 6.54</w:t>
      </w:r>
      <w:r w:rsidRPr="00B36AAB">
        <w:rPr>
          <w:rFonts w:ascii="Times New Roman" w:hAnsi="Times New Roman" w:cs="Times New Roman"/>
        </w:rPr>
        <w:t xml:space="preserve"> </w:t>
      </w:r>
    </w:p>
  </w:footnote>
  <w:footnote w:id="36">
    <w:p w14:paraId="58DEB2E1" w14:textId="65FB5C4B" w:rsidR="00B6015F" w:rsidRPr="00B36AAB" w:rsidRDefault="00B6015F">
      <w:pPr>
        <w:pStyle w:val="FootnoteText"/>
        <w:rPr>
          <w:rFonts w:ascii="Times New Roman" w:hAnsi="Times New Roman" w:cs="Times New Roman"/>
        </w:rPr>
      </w:pPr>
      <w:r w:rsidRPr="00B36AAB">
        <w:rPr>
          <w:rStyle w:val="FootnoteReference"/>
          <w:rFonts w:ascii="Times New Roman" w:hAnsi="Times New Roman" w:cs="Times New Roman"/>
        </w:rPr>
        <w:footnoteRef/>
      </w:r>
      <w:r w:rsidRPr="00B36AAB">
        <w:rPr>
          <w:rFonts w:ascii="Times New Roman" w:hAnsi="Times New Roman" w:cs="Times New Roman"/>
        </w:rPr>
        <w:t xml:space="preserve"> </w:t>
      </w:r>
      <w:r w:rsidR="003E2F34" w:rsidRPr="00B36AAB">
        <w:rPr>
          <w:rFonts w:ascii="Times New Roman" w:hAnsi="Times New Roman" w:cs="Times New Roman"/>
        </w:rPr>
        <w:t>Sections 1.3 to 1.9</w:t>
      </w:r>
    </w:p>
  </w:footnote>
  <w:footnote w:id="37">
    <w:p w14:paraId="0E7553D8" w14:textId="77777777" w:rsidR="006E241F" w:rsidRPr="00B36AAB" w:rsidRDefault="006E241F" w:rsidP="006E241F">
      <w:pPr>
        <w:pStyle w:val="FootnoteText"/>
        <w:rPr>
          <w:rFonts w:ascii="Times New Roman" w:hAnsi="Times New Roman" w:cs="Times New Roman"/>
        </w:rPr>
      </w:pPr>
      <w:r w:rsidRPr="00B36AAB">
        <w:rPr>
          <w:rStyle w:val="FootnoteReference"/>
          <w:rFonts w:ascii="Times New Roman" w:hAnsi="Times New Roman" w:cs="Times New Roman"/>
        </w:rPr>
        <w:footnoteRef/>
      </w:r>
      <w:r w:rsidRPr="00B36AAB">
        <w:rPr>
          <w:rFonts w:ascii="Times New Roman" w:hAnsi="Times New Roman" w:cs="Times New Roman"/>
        </w:rPr>
        <w:t xml:space="preserve"> Explained at section 3.1.1</w:t>
      </w:r>
    </w:p>
  </w:footnote>
  <w:footnote w:id="38">
    <w:p w14:paraId="461E2C5B" w14:textId="77777777" w:rsidR="006E241F" w:rsidRPr="00B36AAB" w:rsidRDefault="006E241F" w:rsidP="006E241F">
      <w:pPr>
        <w:pStyle w:val="FootnoteText"/>
        <w:rPr>
          <w:rFonts w:ascii="Times New Roman" w:hAnsi="Times New Roman" w:cs="Times New Roman"/>
        </w:rPr>
      </w:pPr>
      <w:r w:rsidRPr="00B36AAB">
        <w:rPr>
          <w:rStyle w:val="FootnoteReference"/>
          <w:rFonts w:ascii="Times New Roman" w:hAnsi="Times New Roman" w:cs="Times New Roman"/>
        </w:rPr>
        <w:footnoteRef/>
      </w:r>
      <w:r w:rsidRPr="00B36AAB">
        <w:rPr>
          <w:rFonts w:ascii="Times New Roman" w:hAnsi="Times New Roman" w:cs="Times New Roman"/>
        </w:rPr>
        <w:t xml:space="preserve"> At 3.1.19 for the VSC methodology, and at 3.1.23 for the NSL methodology</w:t>
      </w:r>
    </w:p>
  </w:footnote>
  <w:footnote w:id="39">
    <w:p w14:paraId="0E988351" w14:textId="77777777" w:rsidR="006E241F" w:rsidRPr="00B36AAB" w:rsidRDefault="006E241F" w:rsidP="006E241F">
      <w:pPr>
        <w:pStyle w:val="FootnoteText"/>
        <w:rPr>
          <w:rFonts w:ascii="Times New Roman" w:hAnsi="Times New Roman" w:cs="Times New Roman"/>
        </w:rPr>
      </w:pPr>
      <w:r w:rsidRPr="00B36AAB">
        <w:rPr>
          <w:rStyle w:val="FootnoteReference"/>
          <w:rFonts w:ascii="Times New Roman" w:hAnsi="Times New Roman" w:cs="Times New Roman"/>
        </w:rPr>
        <w:footnoteRef/>
      </w:r>
      <w:r w:rsidRPr="00B36AAB">
        <w:rPr>
          <w:rFonts w:ascii="Times New Roman" w:hAnsi="Times New Roman" w:cs="Times New Roman"/>
        </w:rPr>
        <w:t xml:space="preserve"> In section 5 of his Rebuttal, see paragraph 5.1.1 </w:t>
      </w:r>
    </w:p>
  </w:footnote>
  <w:footnote w:id="40">
    <w:p w14:paraId="0BF26F41" w14:textId="77777777" w:rsidR="006E241F" w:rsidRPr="00B36AAB" w:rsidRDefault="006E241F" w:rsidP="006E241F">
      <w:pPr>
        <w:pStyle w:val="FootnoteText"/>
        <w:rPr>
          <w:rFonts w:ascii="Times New Roman" w:hAnsi="Times New Roman" w:cs="Times New Roman"/>
        </w:rPr>
      </w:pPr>
      <w:r w:rsidRPr="00B36AAB">
        <w:rPr>
          <w:rStyle w:val="FootnoteReference"/>
          <w:rFonts w:ascii="Times New Roman" w:hAnsi="Times New Roman" w:cs="Times New Roman"/>
        </w:rPr>
        <w:footnoteRef/>
      </w:r>
      <w:r w:rsidRPr="00B36AAB">
        <w:rPr>
          <w:rFonts w:ascii="Times New Roman" w:hAnsi="Times New Roman" w:cs="Times New Roman"/>
        </w:rPr>
        <w:t xml:space="preserve"> At section 7.1.1 of his Rebuttal</w:t>
      </w:r>
    </w:p>
  </w:footnote>
  <w:footnote w:id="41">
    <w:p w14:paraId="6EA2C642" w14:textId="77777777" w:rsidR="006E241F" w:rsidRPr="00B36AAB" w:rsidRDefault="006E241F" w:rsidP="006E241F">
      <w:pPr>
        <w:pStyle w:val="FootnoteText"/>
        <w:rPr>
          <w:rFonts w:ascii="Times New Roman" w:hAnsi="Times New Roman" w:cs="Times New Roman"/>
        </w:rPr>
      </w:pPr>
      <w:r w:rsidRPr="00B36AAB">
        <w:rPr>
          <w:rStyle w:val="FootnoteReference"/>
          <w:rFonts w:ascii="Times New Roman" w:hAnsi="Times New Roman" w:cs="Times New Roman"/>
        </w:rPr>
        <w:footnoteRef/>
      </w:r>
      <w:r w:rsidRPr="00B36AAB">
        <w:rPr>
          <w:rFonts w:ascii="Times New Roman" w:hAnsi="Times New Roman" w:cs="Times New Roman"/>
        </w:rPr>
        <w:t xml:space="preserve"> Day 4</w:t>
      </w:r>
    </w:p>
  </w:footnote>
  <w:footnote w:id="42">
    <w:p w14:paraId="1C887CD7" w14:textId="733844B5" w:rsidR="006E241F" w:rsidRPr="00B36AAB" w:rsidRDefault="006E241F" w:rsidP="006E241F">
      <w:pPr>
        <w:rPr>
          <w:rFonts w:ascii="Times New Roman" w:hAnsi="Times New Roman" w:cs="Times New Roman"/>
          <w:sz w:val="20"/>
          <w:szCs w:val="20"/>
        </w:rPr>
      </w:pPr>
      <w:r w:rsidRPr="00B36AAB">
        <w:rPr>
          <w:rStyle w:val="FootnoteReference"/>
          <w:rFonts w:ascii="Times New Roman" w:hAnsi="Times New Roman" w:cs="Times New Roman"/>
          <w:sz w:val="20"/>
          <w:szCs w:val="20"/>
        </w:rPr>
        <w:footnoteRef/>
      </w:r>
      <w:r w:rsidRPr="00B36AAB">
        <w:rPr>
          <w:rFonts w:ascii="Times New Roman" w:hAnsi="Times New Roman" w:cs="Times New Roman"/>
          <w:sz w:val="20"/>
          <w:szCs w:val="20"/>
        </w:rPr>
        <w:t xml:space="preserve"> ID: 14: </w:t>
      </w:r>
      <w:r w:rsidR="00D20306" w:rsidRPr="00B36AAB">
        <w:rPr>
          <w:rFonts w:ascii="Times New Roman" w:hAnsi="Times New Roman" w:cs="Times New Roman"/>
          <w:sz w:val="20"/>
          <w:szCs w:val="20"/>
        </w:rPr>
        <w:t>‘Project Name: Waitrose Bromley’ (A3 document)</w:t>
      </w:r>
    </w:p>
  </w:footnote>
  <w:footnote w:id="43">
    <w:p w14:paraId="7C7E95C5" w14:textId="23342E1E" w:rsidR="00F8567F" w:rsidRPr="00B36AAB" w:rsidRDefault="00F8567F">
      <w:pPr>
        <w:pStyle w:val="FootnoteText"/>
        <w:rPr>
          <w:rFonts w:ascii="Times New Roman" w:hAnsi="Times New Roman" w:cs="Times New Roman"/>
        </w:rPr>
      </w:pPr>
      <w:r w:rsidRPr="00B36AAB">
        <w:rPr>
          <w:rStyle w:val="FootnoteReference"/>
          <w:rFonts w:ascii="Times New Roman" w:hAnsi="Times New Roman" w:cs="Times New Roman"/>
        </w:rPr>
        <w:footnoteRef/>
      </w:r>
      <w:r w:rsidRPr="00B36AAB">
        <w:rPr>
          <w:rFonts w:ascii="Times New Roman" w:hAnsi="Times New Roman" w:cs="Times New Roman"/>
        </w:rPr>
        <w:t xml:space="preserve"> Day 1</w:t>
      </w:r>
    </w:p>
  </w:footnote>
  <w:footnote w:id="44">
    <w:p w14:paraId="29DB9376" w14:textId="5268FAA5" w:rsidR="00D85B40" w:rsidRPr="00B36AAB" w:rsidRDefault="00D85B40">
      <w:pPr>
        <w:pStyle w:val="FootnoteText"/>
        <w:rPr>
          <w:rFonts w:ascii="Times New Roman" w:hAnsi="Times New Roman" w:cs="Times New Roman"/>
        </w:rPr>
      </w:pPr>
      <w:r w:rsidRPr="00B36AAB">
        <w:rPr>
          <w:rStyle w:val="FootnoteReference"/>
          <w:rFonts w:ascii="Times New Roman" w:hAnsi="Times New Roman" w:cs="Times New Roman"/>
        </w:rPr>
        <w:footnoteRef/>
      </w:r>
      <w:r w:rsidRPr="00B36AAB">
        <w:rPr>
          <w:rFonts w:ascii="Times New Roman" w:hAnsi="Times New Roman" w:cs="Times New Roman"/>
        </w:rPr>
        <w:t xml:space="preserve"> Day 4</w:t>
      </w:r>
    </w:p>
  </w:footnote>
  <w:footnote w:id="45">
    <w:p w14:paraId="1AA98A28" w14:textId="60151218" w:rsidR="00D85B40" w:rsidRPr="00B36AAB" w:rsidRDefault="00D85B40">
      <w:pPr>
        <w:pStyle w:val="FootnoteText"/>
        <w:rPr>
          <w:rFonts w:ascii="Times New Roman" w:hAnsi="Times New Roman" w:cs="Times New Roman"/>
        </w:rPr>
      </w:pPr>
      <w:r w:rsidRPr="00B36AAB">
        <w:rPr>
          <w:rStyle w:val="FootnoteReference"/>
          <w:rFonts w:ascii="Times New Roman" w:hAnsi="Times New Roman" w:cs="Times New Roman"/>
        </w:rPr>
        <w:footnoteRef/>
      </w:r>
      <w:r w:rsidRPr="00B36AAB">
        <w:rPr>
          <w:rFonts w:ascii="Times New Roman" w:hAnsi="Times New Roman" w:cs="Times New Roman"/>
        </w:rPr>
        <w:t xml:space="preserve"> </w:t>
      </w:r>
      <w:r w:rsidR="009B01B6" w:rsidRPr="00B36AAB">
        <w:rPr>
          <w:rFonts w:ascii="Times New Roman" w:hAnsi="Times New Roman" w:cs="Times New Roman"/>
        </w:rPr>
        <w:t>CD10.2, paragraph 5.8.</w:t>
      </w:r>
    </w:p>
  </w:footnote>
  <w:footnote w:id="46">
    <w:p w14:paraId="0FE4B94D" w14:textId="5D7A4E27" w:rsidR="004D56A1" w:rsidRPr="00B36AAB" w:rsidRDefault="004D56A1">
      <w:pPr>
        <w:pStyle w:val="FootnoteText"/>
        <w:rPr>
          <w:rFonts w:ascii="Times New Roman" w:hAnsi="Times New Roman" w:cs="Times New Roman"/>
        </w:rPr>
      </w:pPr>
      <w:r w:rsidRPr="00B36AAB">
        <w:rPr>
          <w:rStyle w:val="FootnoteReference"/>
          <w:rFonts w:ascii="Times New Roman" w:hAnsi="Times New Roman" w:cs="Times New Roman"/>
        </w:rPr>
        <w:footnoteRef/>
      </w:r>
      <w:r w:rsidRPr="00B36AAB">
        <w:rPr>
          <w:rFonts w:ascii="Times New Roman" w:hAnsi="Times New Roman" w:cs="Times New Roman"/>
        </w:rPr>
        <w:t xml:space="preserve"> ID:18</w:t>
      </w:r>
    </w:p>
  </w:footnote>
  <w:footnote w:id="47">
    <w:p w14:paraId="1C1E03AB" w14:textId="213F19CC" w:rsidR="00C159CC" w:rsidRPr="00B36AAB" w:rsidRDefault="00C159CC">
      <w:pPr>
        <w:pStyle w:val="FootnoteText"/>
        <w:rPr>
          <w:rFonts w:ascii="Times New Roman" w:hAnsi="Times New Roman" w:cs="Times New Roman"/>
        </w:rPr>
      </w:pPr>
      <w:r w:rsidRPr="00B36AAB">
        <w:rPr>
          <w:rStyle w:val="FootnoteReference"/>
          <w:rFonts w:ascii="Times New Roman" w:hAnsi="Times New Roman" w:cs="Times New Roman"/>
        </w:rPr>
        <w:footnoteRef/>
      </w:r>
      <w:r w:rsidRPr="00B36AAB">
        <w:rPr>
          <w:rFonts w:ascii="Times New Roman" w:hAnsi="Times New Roman" w:cs="Times New Roman"/>
        </w:rPr>
        <w:t xml:space="preserve"> CD5.2, Bromley Town Centre SPD.</w:t>
      </w:r>
    </w:p>
  </w:footnote>
  <w:footnote w:id="48">
    <w:p w14:paraId="0142B145" w14:textId="1284AC0F" w:rsidR="00FE0AF3" w:rsidRPr="00B36AAB" w:rsidRDefault="00FE0AF3">
      <w:pPr>
        <w:pStyle w:val="FootnoteText"/>
        <w:rPr>
          <w:rFonts w:ascii="Times New Roman" w:hAnsi="Times New Roman" w:cs="Times New Roman"/>
        </w:rPr>
      </w:pPr>
      <w:r w:rsidRPr="00B36AAB">
        <w:rPr>
          <w:rStyle w:val="FootnoteReference"/>
          <w:rFonts w:ascii="Times New Roman" w:hAnsi="Times New Roman" w:cs="Times New Roman"/>
        </w:rPr>
        <w:footnoteRef/>
      </w:r>
      <w:r w:rsidRPr="00B36AAB">
        <w:rPr>
          <w:rFonts w:ascii="Times New Roman" w:hAnsi="Times New Roman" w:cs="Times New Roman"/>
        </w:rPr>
        <w:t xml:space="preserve"> 1,230 divided by the developable area (2.89 hectares)</w:t>
      </w:r>
    </w:p>
  </w:footnote>
  <w:footnote w:id="49">
    <w:p w14:paraId="7FE6636E" w14:textId="1BDED5CD" w:rsidR="00A2170A" w:rsidRPr="00B36AAB" w:rsidRDefault="00A2170A">
      <w:pPr>
        <w:pStyle w:val="FootnoteText"/>
        <w:rPr>
          <w:rFonts w:ascii="Times New Roman" w:hAnsi="Times New Roman" w:cs="Times New Roman"/>
        </w:rPr>
      </w:pPr>
      <w:r w:rsidRPr="00B36AAB">
        <w:rPr>
          <w:rStyle w:val="FootnoteReference"/>
          <w:rFonts w:ascii="Times New Roman" w:hAnsi="Times New Roman" w:cs="Times New Roman"/>
        </w:rPr>
        <w:footnoteRef/>
      </w:r>
      <w:r w:rsidRPr="00B36AAB">
        <w:rPr>
          <w:rFonts w:ascii="Times New Roman" w:hAnsi="Times New Roman" w:cs="Times New Roman"/>
        </w:rPr>
        <w:t xml:space="preserve"> These matters are discussed in the documents provided </w:t>
      </w:r>
      <w:r w:rsidR="00CA7A73" w:rsidRPr="00B36AAB">
        <w:rPr>
          <w:rFonts w:ascii="Times New Roman" w:hAnsi="Times New Roman" w:cs="Times New Roman"/>
        </w:rPr>
        <w:t xml:space="preserve">by Ben Johnson </w:t>
      </w:r>
      <w:r w:rsidRPr="00B36AAB">
        <w:rPr>
          <w:rFonts w:ascii="Times New Roman" w:hAnsi="Times New Roman" w:cs="Times New Roman"/>
        </w:rPr>
        <w:t>on Day 5 (IDs 21 and 22).</w:t>
      </w:r>
    </w:p>
  </w:footnote>
  <w:footnote w:id="50">
    <w:p w14:paraId="5E664404" w14:textId="5A300DDF" w:rsidR="00FE1B8A" w:rsidRPr="00B36AAB" w:rsidRDefault="00FE1B8A">
      <w:pPr>
        <w:pStyle w:val="FootnoteText"/>
        <w:rPr>
          <w:rFonts w:ascii="Times New Roman" w:hAnsi="Times New Roman" w:cs="Times New Roman"/>
        </w:rPr>
      </w:pPr>
      <w:r w:rsidRPr="00B36AAB">
        <w:rPr>
          <w:rStyle w:val="FootnoteReference"/>
          <w:rFonts w:ascii="Times New Roman" w:hAnsi="Times New Roman" w:cs="Times New Roman"/>
        </w:rPr>
        <w:footnoteRef/>
      </w:r>
      <w:r w:rsidRPr="00B36AAB">
        <w:rPr>
          <w:rFonts w:ascii="Times New Roman" w:hAnsi="Times New Roman" w:cs="Times New Roman"/>
        </w:rPr>
        <w:t xml:space="preserve"> </w:t>
      </w:r>
      <w:r w:rsidR="008F173D" w:rsidRPr="00B36AAB">
        <w:rPr>
          <w:rFonts w:ascii="Times New Roman" w:hAnsi="Times New Roman" w:cs="Times New Roman"/>
        </w:rPr>
        <w:t>Pages 14 and 15</w:t>
      </w:r>
    </w:p>
  </w:footnote>
  <w:footnote w:id="51">
    <w:p w14:paraId="0ABC66CD" w14:textId="4FF4433D" w:rsidR="0022112C" w:rsidRPr="00B36AAB" w:rsidRDefault="0022112C">
      <w:pPr>
        <w:pStyle w:val="FootnoteText"/>
        <w:rPr>
          <w:rFonts w:ascii="Times New Roman" w:hAnsi="Times New Roman" w:cs="Times New Roman"/>
        </w:rPr>
      </w:pPr>
      <w:r w:rsidRPr="00B36AAB">
        <w:rPr>
          <w:rStyle w:val="FootnoteReference"/>
          <w:rFonts w:ascii="Times New Roman" w:hAnsi="Times New Roman" w:cs="Times New Roman"/>
        </w:rPr>
        <w:footnoteRef/>
      </w:r>
      <w:r w:rsidRPr="00B36AAB">
        <w:rPr>
          <w:rFonts w:ascii="Times New Roman" w:hAnsi="Times New Roman" w:cs="Times New Roman"/>
        </w:rPr>
        <w:t xml:space="preserve"> Paragraph 6.22</w:t>
      </w:r>
    </w:p>
  </w:footnote>
  <w:footnote w:id="52">
    <w:p w14:paraId="50902091" w14:textId="5AB667BE" w:rsidR="0022112C" w:rsidRPr="00B36AAB" w:rsidRDefault="0022112C">
      <w:pPr>
        <w:pStyle w:val="FootnoteText"/>
        <w:rPr>
          <w:rFonts w:ascii="Times New Roman" w:hAnsi="Times New Roman" w:cs="Times New Roman"/>
        </w:rPr>
      </w:pPr>
      <w:r w:rsidRPr="00B36AAB">
        <w:rPr>
          <w:rStyle w:val="FootnoteReference"/>
          <w:rFonts w:ascii="Times New Roman" w:hAnsi="Times New Roman" w:cs="Times New Roman"/>
        </w:rPr>
        <w:footnoteRef/>
      </w:r>
      <w:r w:rsidRPr="00B36AAB">
        <w:rPr>
          <w:rFonts w:ascii="Times New Roman" w:hAnsi="Times New Roman" w:cs="Times New Roman"/>
        </w:rPr>
        <w:t xml:space="preserve"> Paragraph 6.24.</w:t>
      </w:r>
    </w:p>
  </w:footnote>
  <w:footnote w:id="53">
    <w:p w14:paraId="373585BE" w14:textId="692DD1D0" w:rsidR="00746569" w:rsidRPr="00B36AAB" w:rsidRDefault="00746569">
      <w:pPr>
        <w:pStyle w:val="FootnoteText"/>
        <w:rPr>
          <w:rFonts w:ascii="Times New Roman" w:hAnsi="Times New Roman" w:cs="Times New Roman"/>
        </w:rPr>
      </w:pPr>
      <w:r w:rsidRPr="00B36AAB">
        <w:rPr>
          <w:rStyle w:val="FootnoteReference"/>
          <w:rFonts w:ascii="Times New Roman" w:hAnsi="Times New Roman" w:cs="Times New Roman"/>
        </w:rPr>
        <w:footnoteRef/>
      </w:r>
      <w:r w:rsidRPr="00B36AAB">
        <w:rPr>
          <w:rFonts w:ascii="Times New Roman" w:hAnsi="Times New Roman" w:cs="Times New Roman"/>
        </w:rPr>
        <w:t xml:space="preserve"> Mrs Anthea Perry, 5 </w:t>
      </w:r>
      <w:proofErr w:type="spellStart"/>
      <w:r w:rsidRPr="00B36AAB">
        <w:rPr>
          <w:rFonts w:ascii="Times New Roman" w:hAnsi="Times New Roman" w:cs="Times New Roman"/>
        </w:rPr>
        <w:t>Queensmead</w:t>
      </w:r>
      <w:proofErr w:type="spellEnd"/>
      <w:r w:rsidRPr="00B36AAB">
        <w:rPr>
          <w:rFonts w:ascii="Times New Roman" w:hAnsi="Times New Roman" w:cs="Times New Roman"/>
        </w:rPr>
        <w:t xml:space="preserve"> Road Bromley</w:t>
      </w:r>
    </w:p>
  </w:footnote>
  <w:footnote w:id="54">
    <w:p w14:paraId="5B885ACB" w14:textId="1713F96E" w:rsidR="00746569" w:rsidRPr="00B36AAB" w:rsidRDefault="00746569">
      <w:pPr>
        <w:pStyle w:val="FootnoteText"/>
        <w:rPr>
          <w:rFonts w:ascii="Times New Roman" w:hAnsi="Times New Roman" w:cs="Times New Roman"/>
        </w:rPr>
      </w:pPr>
      <w:r w:rsidRPr="00B36AAB">
        <w:rPr>
          <w:rStyle w:val="FootnoteReference"/>
          <w:rFonts w:ascii="Times New Roman" w:hAnsi="Times New Roman" w:cs="Times New Roman"/>
        </w:rPr>
        <w:footnoteRef/>
      </w:r>
      <w:r w:rsidRPr="00B36AAB">
        <w:rPr>
          <w:rFonts w:ascii="Times New Roman" w:hAnsi="Times New Roman" w:cs="Times New Roman"/>
        </w:rPr>
        <w:t xml:space="preserve"> Michael Ellery, 17 Farrier Close, Bromley</w:t>
      </w:r>
    </w:p>
  </w:footnote>
  <w:footnote w:id="55">
    <w:p w14:paraId="7076F45D" w14:textId="3634009E" w:rsidR="00746569" w:rsidRPr="00B36AAB" w:rsidRDefault="00746569">
      <w:pPr>
        <w:pStyle w:val="FootnoteText"/>
        <w:rPr>
          <w:rFonts w:ascii="Times New Roman" w:hAnsi="Times New Roman" w:cs="Times New Roman"/>
        </w:rPr>
      </w:pPr>
      <w:r w:rsidRPr="00B36AAB">
        <w:rPr>
          <w:rStyle w:val="FootnoteReference"/>
          <w:rFonts w:ascii="Times New Roman" w:hAnsi="Times New Roman" w:cs="Times New Roman"/>
        </w:rPr>
        <w:footnoteRef/>
      </w:r>
      <w:r w:rsidRPr="00B36AAB">
        <w:rPr>
          <w:rFonts w:ascii="Times New Roman" w:hAnsi="Times New Roman" w:cs="Times New Roman"/>
        </w:rPr>
        <w:t xml:space="preserve"> Mrs Annabelle Heasman, 38 Siward Road Bromley</w:t>
      </w:r>
    </w:p>
  </w:footnote>
  <w:footnote w:id="56">
    <w:p w14:paraId="55FF836B" w14:textId="0F2A5A90" w:rsidR="00746569" w:rsidRPr="00B36AAB" w:rsidRDefault="00746569">
      <w:pPr>
        <w:pStyle w:val="FootnoteText"/>
        <w:rPr>
          <w:rFonts w:ascii="Times New Roman" w:hAnsi="Times New Roman" w:cs="Times New Roman"/>
        </w:rPr>
      </w:pPr>
      <w:r w:rsidRPr="00B36AAB">
        <w:rPr>
          <w:rStyle w:val="FootnoteReference"/>
          <w:rFonts w:ascii="Times New Roman" w:hAnsi="Times New Roman" w:cs="Times New Roman"/>
        </w:rPr>
        <w:footnoteRef/>
      </w:r>
      <w:r w:rsidRPr="00B36AAB">
        <w:rPr>
          <w:rFonts w:ascii="Times New Roman" w:hAnsi="Times New Roman" w:cs="Times New Roman"/>
        </w:rPr>
        <w:t xml:space="preserve"> Mr R W </w:t>
      </w:r>
      <w:proofErr w:type="spellStart"/>
      <w:r w:rsidRPr="00B36AAB">
        <w:rPr>
          <w:rFonts w:ascii="Times New Roman" w:hAnsi="Times New Roman" w:cs="Times New Roman"/>
        </w:rPr>
        <w:t>Terrett</w:t>
      </w:r>
      <w:proofErr w:type="spellEnd"/>
      <w:r w:rsidRPr="00B36AAB">
        <w:rPr>
          <w:rFonts w:ascii="Times New Roman" w:hAnsi="Times New Roman" w:cs="Times New Roman"/>
        </w:rPr>
        <w:t>, 70 Madeira Ave Bromley</w:t>
      </w:r>
    </w:p>
  </w:footnote>
  <w:footnote w:id="57">
    <w:p w14:paraId="2E441144" w14:textId="3B48CEB7" w:rsidR="00746569" w:rsidRPr="00B36AAB" w:rsidRDefault="00746569">
      <w:pPr>
        <w:pStyle w:val="FootnoteText"/>
        <w:rPr>
          <w:rFonts w:ascii="Times New Roman" w:hAnsi="Times New Roman" w:cs="Times New Roman"/>
        </w:rPr>
      </w:pPr>
      <w:r w:rsidRPr="00B36AAB">
        <w:rPr>
          <w:rStyle w:val="FootnoteReference"/>
          <w:rFonts w:ascii="Times New Roman" w:hAnsi="Times New Roman" w:cs="Times New Roman"/>
        </w:rPr>
        <w:footnoteRef/>
      </w:r>
      <w:r w:rsidRPr="00B36AAB">
        <w:rPr>
          <w:rFonts w:ascii="Times New Roman" w:hAnsi="Times New Roman" w:cs="Times New Roman"/>
        </w:rPr>
        <w:t xml:space="preserve"> Mr Stephen Holloway, 5 Palace View Bromley</w:t>
      </w:r>
    </w:p>
  </w:footnote>
  <w:footnote w:id="58">
    <w:p w14:paraId="472188E3" w14:textId="6BA0B85A" w:rsidR="00746569" w:rsidRPr="00B36AAB" w:rsidRDefault="00746569">
      <w:pPr>
        <w:pStyle w:val="FootnoteText"/>
        <w:rPr>
          <w:rFonts w:ascii="Times New Roman" w:hAnsi="Times New Roman" w:cs="Times New Roman"/>
        </w:rPr>
      </w:pPr>
      <w:r w:rsidRPr="00B36AAB">
        <w:rPr>
          <w:rStyle w:val="FootnoteReference"/>
          <w:rFonts w:ascii="Times New Roman" w:hAnsi="Times New Roman" w:cs="Times New Roman"/>
        </w:rPr>
        <w:footnoteRef/>
      </w:r>
      <w:r w:rsidRPr="00B36AAB">
        <w:rPr>
          <w:rFonts w:ascii="Times New Roman" w:hAnsi="Times New Roman" w:cs="Times New Roman"/>
        </w:rPr>
        <w:t xml:space="preserve"> Mr Michael Gigg, 34 Manor Road Bromley</w:t>
      </w:r>
    </w:p>
  </w:footnote>
  <w:footnote w:id="59">
    <w:p w14:paraId="3CA70A73" w14:textId="01E76483" w:rsidR="00746569" w:rsidRPr="00B36AAB" w:rsidRDefault="00746569">
      <w:pPr>
        <w:pStyle w:val="FootnoteText"/>
        <w:rPr>
          <w:rFonts w:ascii="Times New Roman" w:hAnsi="Times New Roman" w:cs="Times New Roman"/>
        </w:rPr>
      </w:pPr>
      <w:r w:rsidRPr="00B36AAB">
        <w:rPr>
          <w:rStyle w:val="FootnoteReference"/>
          <w:rFonts w:ascii="Times New Roman" w:hAnsi="Times New Roman" w:cs="Times New Roman"/>
        </w:rPr>
        <w:footnoteRef/>
      </w:r>
      <w:r w:rsidRPr="00B36AAB">
        <w:rPr>
          <w:rFonts w:ascii="Times New Roman" w:hAnsi="Times New Roman" w:cs="Times New Roman"/>
        </w:rPr>
        <w:t xml:space="preserve"> Mrs Elizabeth Moss, Riverside 3 Hayes Road Bromley</w:t>
      </w:r>
    </w:p>
  </w:footnote>
  <w:footnote w:id="60">
    <w:p w14:paraId="416BCBB3" w14:textId="6A02713F" w:rsidR="00746569" w:rsidRPr="00B36AAB" w:rsidRDefault="00746569">
      <w:pPr>
        <w:pStyle w:val="FootnoteText"/>
        <w:rPr>
          <w:rFonts w:ascii="Times New Roman" w:hAnsi="Times New Roman" w:cs="Times New Roman"/>
        </w:rPr>
      </w:pPr>
      <w:r w:rsidRPr="00B36AAB">
        <w:rPr>
          <w:rStyle w:val="FootnoteReference"/>
          <w:rFonts w:ascii="Times New Roman" w:hAnsi="Times New Roman" w:cs="Times New Roman"/>
        </w:rPr>
        <w:footnoteRef/>
      </w:r>
      <w:r w:rsidRPr="00B36AAB">
        <w:rPr>
          <w:rFonts w:ascii="Times New Roman" w:hAnsi="Times New Roman" w:cs="Times New Roman"/>
        </w:rPr>
        <w:t xml:space="preserve"> Mrs Vanessa Bowden, 21 Forde Avenue Bromley</w:t>
      </w:r>
    </w:p>
  </w:footnote>
  <w:footnote w:id="61">
    <w:p w14:paraId="2D1AD3C3" w14:textId="4141335E" w:rsidR="00DA2D3A" w:rsidRPr="00B36AAB" w:rsidRDefault="00DA2D3A">
      <w:pPr>
        <w:pStyle w:val="FootnoteText"/>
        <w:rPr>
          <w:rFonts w:ascii="Times New Roman" w:hAnsi="Times New Roman" w:cs="Times New Roman"/>
        </w:rPr>
      </w:pPr>
      <w:r w:rsidRPr="00B36AAB">
        <w:rPr>
          <w:rStyle w:val="FootnoteReference"/>
          <w:rFonts w:ascii="Times New Roman" w:hAnsi="Times New Roman" w:cs="Times New Roman"/>
        </w:rPr>
        <w:footnoteRef/>
      </w:r>
      <w:r w:rsidRPr="00B36AAB">
        <w:rPr>
          <w:rFonts w:ascii="Times New Roman" w:hAnsi="Times New Roman" w:cs="Times New Roman"/>
        </w:rPr>
        <w:t xml:space="preserve"> CD3.5, Phase 2 report, at paragraph 45</w:t>
      </w:r>
    </w:p>
  </w:footnote>
  <w:footnote w:id="62">
    <w:p w14:paraId="17CA7F33" w14:textId="0F912907" w:rsidR="007E528A" w:rsidRPr="00B36AAB" w:rsidRDefault="007E528A">
      <w:pPr>
        <w:pStyle w:val="FootnoteText"/>
        <w:rPr>
          <w:rFonts w:ascii="Times New Roman" w:hAnsi="Times New Roman" w:cs="Times New Roman"/>
        </w:rPr>
      </w:pPr>
      <w:r w:rsidRPr="00B36AAB">
        <w:rPr>
          <w:rStyle w:val="FootnoteReference"/>
          <w:rFonts w:ascii="Times New Roman" w:hAnsi="Times New Roman" w:cs="Times New Roman"/>
        </w:rPr>
        <w:footnoteRef/>
      </w:r>
      <w:r w:rsidRPr="00B36AAB">
        <w:rPr>
          <w:rFonts w:ascii="Times New Roman" w:hAnsi="Times New Roman" w:cs="Times New Roman"/>
        </w:rPr>
        <w:t xml:space="preserve"> CD8.23</w:t>
      </w:r>
    </w:p>
  </w:footnote>
  <w:footnote w:id="63">
    <w:p w14:paraId="11008123" w14:textId="77777777" w:rsidR="003328C8" w:rsidRPr="00B36AAB" w:rsidRDefault="003328C8" w:rsidP="003328C8">
      <w:pPr>
        <w:pStyle w:val="FootnoteText"/>
        <w:rPr>
          <w:rFonts w:ascii="Times New Roman" w:hAnsi="Times New Roman" w:cs="Times New Roman"/>
        </w:rPr>
      </w:pPr>
      <w:r w:rsidRPr="00B36AAB">
        <w:rPr>
          <w:rStyle w:val="FootnoteReference"/>
          <w:rFonts w:ascii="Times New Roman" w:hAnsi="Times New Roman" w:cs="Times New Roman"/>
        </w:rPr>
        <w:footnoteRef/>
      </w:r>
      <w:r w:rsidRPr="00B36AAB">
        <w:rPr>
          <w:rFonts w:ascii="Times New Roman" w:hAnsi="Times New Roman" w:cs="Times New Roman"/>
        </w:rPr>
        <w:t xml:space="preserve"> Paragraph 4.28</w:t>
      </w:r>
    </w:p>
  </w:footnote>
  <w:footnote w:id="64">
    <w:p w14:paraId="1ED862EF" w14:textId="50116E30" w:rsidR="003328C8" w:rsidRPr="00B36AAB" w:rsidRDefault="003328C8">
      <w:pPr>
        <w:pStyle w:val="FootnoteText"/>
        <w:rPr>
          <w:rFonts w:ascii="Times New Roman" w:hAnsi="Times New Roman" w:cs="Times New Roman"/>
        </w:rPr>
      </w:pPr>
      <w:r w:rsidRPr="00B36AAB">
        <w:rPr>
          <w:rStyle w:val="FootnoteReference"/>
          <w:rFonts w:ascii="Times New Roman" w:hAnsi="Times New Roman" w:cs="Times New Roman"/>
        </w:rPr>
        <w:footnoteRef/>
      </w:r>
      <w:r w:rsidRPr="00B36AAB">
        <w:rPr>
          <w:rFonts w:ascii="Times New Roman" w:hAnsi="Times New Roman" w:cs="Times New Roman"/>
        </w:rPr>
        <w:t xml:space="preserve"> At paragraph 5.15</w:t>
      </w:r>
    </w:p>
  </w:footnote>
  <w:footnote w:id="65">
    <w:p w14:paraId="35A18244" w14:textId="4BAB65FE" w:rsidR="00D50811" w:rsidRPr="00B36AAB" w:rsidRDefault="00D50811">
      <w:pPr>
        <w:pStyle w:val="FootnoteText"/>
        <w:rPr>
          <w:rFonts w:ascii="Times New Roman" w:hAnsi="Times New Roman" w:cs="Times New Roman"/>
        </w:rPr>
      </w:pPr>
      <w:r w:rsidRPr="00B36AAB">
        <w:rPr>
          <w:rStyle w:val="FootnoteReference"/>
          <w:rFonts w:ascii="Times New Roman" w:hAnsi="Times New Roman" w:cs="Times New Roman"/>
        </w:rPr>
        <w:footnoteRef/>
      </w:r>
      <w:r w:rsidRPr="00B36AAB">
        <w:rPr>
          <w:rFonts w:ascii="Times New Roman" w:hAnsi="Times New Roman" w:cs="Times New Roman"/>
        </w:rPr>
        <w:t xml:space="preserve"> Paragraph 5.17</w:t>
      </w:r>
    </w:p>
  </w:footnote>
  <w:footnote w:id="66">
    <w:p w14:paraId="5E6B4C55" w14:textId="54F73629" w:rsidR="004E40AE" w:rsidRDefault="004E40AE">
      <w:pPr>
        <w:pStyle w:val="FootnoteText"/>
      </w:pPr>
      <w:r>
        <w:rPr>
          <w:rStyle w:val="FootnoteReference"/>
        </w:rPr>
        <w:footnoteRef/>
      </w:r>
      <w:r>
        <w:t xml:space="preserve"> Figure 14b</w:t>
      </w:r>
    </w:p>
  </w:footnote>
  <w:footnote w:id="67">
    <w:p w14:paraId="5BAE3C10" w14:textId="6EA869F4" w:rsidR="00D06B69" w:rsidRPr="00B36AAB" w:rsidRDefault="00D06B69">
      <w:pPr>
        <w:pStyle w:val="FootnoteText"/>
        <w:rPr>
          <w:rFonts w:ascii="Times New Roman" w:hAnsi="Times New Roman" w:cs="Times New Roman"/>
        </w:rPr>
      </w:pPr>
      <w:r w:rsidRPr="00B36AAB">
        <w:rPr>
          <w:rStyle w:val="FootnoteReference"/>
          <w:rFonts w:ascii="Times New Roman" w:hAnsi="Times New Roman" w:cs="Times New Roman"/>
        </w:rPr>
        <w:footnoteRef/>
      </w:r>
      <w:r w:rsidRPr="00B36AAB">
        <w:rPr>
          <w:rFonts w:ascii="Times New Roman" w:hAnsi="Times New Roman" w:cs="Times New Roman"/>
        </w:rPr>
        <w:t xml:space="preserve"> CD8.23</w:t>
      </w:r>
    </w:p>
  </w:footnote>
  <w:footnote w:id="68">
    <w:p w14:paraId="125FF5A3" w14:textId="6C662EBC" w:rsidR="007C7A0C" w:rsidRPr="00B36AAB" w:rsidRDefault="007C7A0C">
      <w:pPr>
        <w:pStyle w:val="FootnoteText"/>
        <w:rPr>
          <w:rFonts w:ascii="Times New Roman" w:hAnsi="Times New Roman" w:cs="Times New Roman"/>
        </w:rPr>
      </w:pPr>
      <w:r w:rsidRPr="00B36AAB">
        <w:rPr>
          <w:rStyle w:val="FootnoteReference"/>
          <w:rFonts w:ascii="Times New Roman" w:hAnsi="Times New Roman" w:cs="Times New Roman"/>
        </w:rPr>
        <w:footnoteRef/>
      </w:r>
      <w:r w:rsidRPr="00B36AAB">
        <w:rPr>
          <w:rFonts w:ascii="Times New Roman" w:hAnsi="Times New Roman" w:cs="Times New Roman"/>
        </w:rPr>
        <w:t xml:space="preserve"> CD3.3, paragraph 6.5</w:t>
      </w:r>
    </w:p>
  </w:footnote>
  <w:footnote w:id="69">
    <w:p w14:paraId="6279BD64" w14:textId="1AC4794E" w:rsidR="00D06B69" w:rsidRPr="00B36AAB" w:rsidRDefault="00D06B69">
      <w:pPr>
        <w:pStyle w:val="FootnoteText"/>
        <w:rPr>
          <w:rFonts w:ascii="Times New Roman" w:hAnsi="Times New Roman" w:cs="Times New Roman"/>
        </w:rPr>
      </w:pPr>
      <w:r w:rsidRPr="00B36AAB">
        <w:rPr>
          <w:rStyle w:val="FootnoteReference"/>
          <w:rFonts w:ascii="Times New Roman" w:hAnsi="Times New Roman" w:cs="Times New Roman"/>
        </w:rPr>
        <w:footnoteRef/>
      </w:r>
      <w:r w:rsidRPr="00B36AAB">
        <w:rPr>
          <w:rFonts w:ascii="Times New Roman" w:hAnsi="Times New Roman" w:cs="Times New Roman"/>
        </w:rPr>
        <w:t xml:space="preserve"> </w:t>
      </w:r>
      <w:r w:rsidR="009366FC" w:rsidRPr="00B36AAB">
        <w:rPr>
          <w:rFonts w:ascii="Times New Roman" w:hAnsi="Times New Roman" w:cs="Times New Roman"/>
        </w:rPr>
        <w:t>CD3.3</w:t>
      </w:r>
      <w:r w:rsidR="007C7A0C" w:rsidRPr="00B36AAB">
        <w:rPr>
          <w:rFonts w:ascii="Times New Roman" w:hAnsi="Times New Roman" w:cs="Times New Roman"/>
        </w:rPr>
        <w:t>, paragraph 6.5.13</w:t>
      </w:r>
    </w:p>
  </w:footnote>
  <w:footnote w:id="70">
    <w:p w14:paraId="357205D9" w14:textId="45AFA267" w:rsidR="004302A0" w:rsidRPr="00B36AAB" w:rsidRDefault="004302A0">
      <w:pPr>
        <w:pStyle w:val="FootnoteText"/>
        <w:rPr>
          <w:rFonts w:ascii="Times New Roman" w:hAnsi="Times New Roman" w:cs="Times New Roman"/>
        </w:rPr>
      </w:pPr>
      <w:r w:rsidRPr="00B36AAB">
        <w:rPr>
          <w:rStyle w:val="FootnoteReference"/>
          <w:rFonts w:ascii="Times New Roman" w:hAnsi="Times New Roman" w:cs="Times New Roman"/>
        </w:rPr>
        <w:footnoteRef/>
      </w:r>
      <w:r w:rsidRPr="00B36AAB">
        <w:rPr>
          <w:rFonts w:ascii="Times New Roman" w:hAnsi="Times New Roman" w:cs="Times New Roman"/>
        </w:rPr>
        <w:t xml:space="preserve"> CD3.5, paragraph 51.</w:t>
      </w:r>
    </w:p>
  </w:footnote>
  <w:footnote w:id="71">
    <w:p w14:paraId="217FBDAB" w14:textId="2FFD66AA" w:rsidR="006D1391" w:rsidRPr="00B36AAB" w:rsidRDefault="006D1391">
      <w:pPr>
        <w:pStyle w:val="FootnoteText"/>
        <w:rPr>
          <w:rFonts w:ascii="Times New Roman" w:hAnsi="Times New Roman" w:cs="Times New Roman"/>
        </w:rPr>
      </w:pPr>
      <w:r w:rsidRPr="00B36AAB">
        <w:rPr>
          <w:rStyle w:val="FootnoteReference"/>
          <w:rFonts w:ascii="Times New Roman" w:hAnsi="Times New Roman" w:cs="Times New Roman"/>
        </w:rPr>
        <w:footnoteRef/>
      </w:r>
      <w:r w:rsidRPr="00B36AAB">
        <w:rPr>
          <w:rFonts w:ascii="Times New Roman" w:hAnsi="Times New Roman" w:cs="Times New Roman"/>
        </w:rPr>
        <w:t xml:space="preserve"> CD10.2 at paragraph 6.2</w:t>
      </w:r>
    </w:p>
  </w:footnote>
  <w:footnote w:id="72">
    <w:p w14:paraId="468747E7" w14:textId="77777777" w:rsidR="00A11DE6" w:rsidRPr="00B36AAB" w:rsidRDefault="00A11DE6" w:rsidP="00A11DE6">
      <w:pPr>
        <w:pStyle w:val="FootnoteText"/>
        <w:rPr>
          <w:rFonts w:ascii="Times New Roman" w:hAnsi="Times New Roman" w:cs="Times New Roman"/>
        </w:rPr>
      </w:pPr>
      <w:r w:rsidRPr="00B36AAB">
        <w:rPr>
          <w:rStyle w:val="FootnoteReference"/>
          <w:rFonts w:ascii="Times New Roman" w:hAnsi="Times New Roman" w:cs="Times New Roman"/>
        </w:rPr>
        <w:footnoteRef/>
      </w:r>
      <w:r w:rsidRPr="00B36AAB">
        <w:rPr>
          <w:rFonts w:ascii="Times New Roman" w:hAnsi="Times New Roman" w:cs="Times New Roman"/>
        </w:rPr>
        <w:t xml:space="preserve"> At 1CD10.2, paras 7.5 and 7.6</w:t>
      </w:r>
    </w:p>
  </w:footnote>
  <w:footnote w:id="73">
    <w:p w14:paraId="5FEE01B9" w14:textId="77777777" w:rsidR="002F4A63" w:rsidRPr="00B36AAB" w:rsidRDefault="002F4A63" w:rsidP="002F4A63">
      <w:pPr>
        <w:pStyle w:val="FootnoteText"/>
        <w:rPr>
          <w:rFonts w:ascii="Times New Roman" w:hAnsi="Times New Roman" w:cs="Times New Roman"/>
        </w:rPr>
      </w:pPr>
      <w:r w:rsidRPr="00B36AAB">
        <w:rPr>
          <w:rStyle w:val="FootnoteReference"/>
          <w:rFonts w:ascii="Times New Roman" w:hAnsi="Times New Roman" w:cs="Times New Roman"/>
        </w:rPr>
        <w:footnoteRef/>
      </w:r>
      <w:r w:rsidRPr="00B36AAB">
        <w:rPr>
          <w:rFonts w:ascii="Times New Roman" w:hAnsi="Times New Roman" w:cs="Times New Roman"/>
        </w:rPr>
        <w:t xml:space="preserve"> CD10.2A, page 12.</w:t>
      </w:r>
    </w:p>
  </w:footnote>
  <w:footnote w:id="74">
    <w:p w14:paraId="2E218E35" w14:textId="43996F28" w:rsidR="002F4A63" w:rsidRPr="00B36AAB" w:rsidRDefault="002F4A63">
      <w:pPr>
        <w:pStyle w:val="FootnoteText"/>
        <w:rPr>
          <w:rFonts w:ascii="Times New Roman" w:hAnsi="Times New Roman" w:cs="Times New Roman"/>
        </w:rPr>
      </w:pPr>
      <w:r w:rsidRPr="00B36AAB">
        <w:rPr>
          <w:rStyle w:val="FootnoteReference"/>
          <w:rFonts w:ascii="Times New Roman" w:hAnsi="Times New Roman" w:cs="Times New Roman"/>
        </w:rPr>
        <w:footnoteRef/>
      </w:r>
      <w:r w:rsidRPr="00B36AAB">
        <w:rPr>
          <w:rFonts w:ascii="Times New Roman" w:hAnsi="Times New Roman" w:cs="Times New Roman"/>
        </w:rPr>
        <w:t xml:space="preserve"> Day 6</w:t>
      </w:r>
      <w:r w:rsidR="002E2DA3">
        <w:rPr>
          <w:rFonts w:ascii="Times New Roman" w:hAnsi="Times New Roman" w:cs="Times New Roman"/>
        </w:rPr>
        <w:t>. The table was corrected during chief.</w:t>
      </w:r>
    </w:p>
  </w:footnote>
  <w:footnote w:id="75">
    <w:p w14:paraId="5CBE507B" w14:textId="168F8D79" w:rsidR="00A25D75" w:rsidRPr="00B36AAB" w:rsidRDefault="00A25D75">
      <w:pPr>
        <w:pStyle w:val="FootnoteText"/>
        <w:rPr>
          <w:rFonts w:ascii="Times New Roman" w:hAnsi="Times New Roman" w:cs="Times New Roman"/>
        </w:rPr>
      </w:pPr>
      <w:r w:rsidRPr="00B36AAB">
        <w:rPr>
          <w:rStyle w:val="FootnoteReference"/>
          <w:rFonts w:ascii="Times New Roman" w:hAnsi="Times New Roman" w:cs="Times New Roman"/>
        </w:rPr>
        <w:footnoteRef/>
      </w:r>
      <w:r w:rsidRPr="00B36AAB">
        <w:rPr>
          <w:rFonts w:ascii="Times New Roman" w:hAnsi="Times New Roman" w:cs="Times New Roman"/>
        </w:rPr>
        <w:t xml:space="preserve"> At 8.23 of his proof.</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8C6BBA"/>
    <w:multiLevelType w:val="hybridMultilevel"/>
    <w:tmpl w:val="3FC27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5E4AE8"/>
    <w:multiLevelType w:val="hybridMultilevel"/>
    <w:tmpl w:val="D35CEF0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EA838D3"/>
    <w:multiLevelType w:val="hybridMultilevel"/>
    <w:tmpl w:val="11844328"/>
    <w:lvl w:ilvl="0" w:tplc="FFFFFFFF">
      <w:start w:val="1"/>
      <w:numFmt w:val="decimal"/>
      <w:lvlText w:val="%1."/>
      <w:lvlJc w:val="left"/>
      <w:pPr>
        <w:ind w:left="720" w:hanging="360"/>
      </w:pPr>
      <w:rPr>
        <w:rFonts w:hint="default"/>
        <w:b w:val="0"/>
        <w:bCs w:val="0"/>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32860F36"/>
    <w:multiLevelType w:val="hybridMultilevel"/>
    <w:tmpl w:val="11844328"/>
    <w:lvl w:ilvl="0" w:tplc="E8907832">
      <w:start w:val="1"/>
      <w:numFmt w:val="decimal"/>
      <w:lvlText w:val="%1."/>
      <w:lvlJc w:val="left"/>
      <w:pPr>
        <w:ind w:left="720" w:hanging="360"/>
      </w:pPr>
      <w:rPr>
        <w:rFonts w:hint="default"/>
        <w:b w:val="0"/>
        <w:bCs w:val="0"/>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587456E"/>
    <w:multiLevelType w:val="hybridMultilevel"/>
    <w:tmpl w:val="11844328"/>
    <w:lvl w:ilvl="0" w:tplc="FFFFFFFF">
      <w:start w:val="1"/>
      <w:numFmt w:val="decimal"/>
      <w:lvlText w:val="%1."/>
      <w:lvlJc w:val="left"/>
      <w:pPr>
        <w:ind w:left="720" w:hanging="360"/>
      </w:pPr>
      <w:rPr>
        <w:rFonts w:hint="default"/>
        <w:b w:val="0"/>
        <w:bCs w:val="0"/>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B451848"/>
    <w:multiLevelType w:val="hybridMultilevel"/>
    <w:tmpl w:val="F8AC93A4"/>
    <w:lvl w:ilvl="0" w:tplc="D4787DD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FFB3869"/>
    <w:multiLevelType w:val="hybridMultilevel"/>
    <w:tmpl w:val="1D8CEA60"/>
    <w:lvl w:ilvl="0" w:tplc="FFFFFFF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466C6F7F"/>
    <w:multiLevelType w:val="hybridMultilevel"/>
    <w:tmpl w:val="378204FA"/>
    <w:lvl w:ilvl="0" w:tplc="8510557E">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1475C11"/>
    <w:multiLevelType w:val="hybridMultilevel"/>
    <w:tmpl w:val="5D32B5E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9F9794F"/>
    <w:multiLevelType w:val="hybridMultilevel"/>
    <w:tmpl w:val="CE32E334"/>
    <w:lvl w:ilvl="0" w:tplc="D01089AA">
      <w:start w:val="1"/>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87D53D2"/>
    <w:multiLevelType w:val="hybridMultilevel"/>
    <w:tmpl w:val="11844328"/>
    <w:lvl w:ilvl="0" w:tplc="FFFFFFFF">
      <w:start w:val="1"/>
      <w:numFmt w:val="decimal"/>
      <w:lvlText w:val="%1."/>
      <w:lvlJc w:val="left"/>
      <w:pPr>
        <w:ind w:left="720" w:hanging="360"/>
      </w:pPr>
      <w:rPr>
        <w:rFonts w:hint="default"/>
        <w:b w:val="0"/>
        <w:bCs w:val="0"/>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812552891">
    <w:abstractNumId w:val="7"/>
  </w:num>
  <w:num w:numId="2" w16cid:durableId="536701916">
    <w:abstractNumId w:val="8"/>
  </w:num>
  <w:num w:numId="3" w16cid:durableId="1081607657">
    <w:abstractNumId w:val="5"/>
  </w:num>
  <w:num w:numId="4" w16cid:durableId="332148618">
    <w:abstractNumId w:val="0"/>
  </w:num>
  <w:num w:numId="5" w16cid:durableId="1074476256">
    <w:abstractNumId w:val="3"/>
  </w:num>
  <w:num w:numId="6" w16cid:durableId="1870944405">
    <w:abstractNumId w:val="1"/>
  </w:num>
  <w:num w:numId="7" w16cid:durableId="1514879204">
    <w:abstractNumId w:val="6"/>
  </w:num>
  <w:num w:numId="8" w16cid:durableId="980843470">
    <w:abstractNumId w:val="9"/>
  </w:num>
  <w:num w:numId="9" w16cid:durableId="795948678">
    <w:abstractNumId w:val="2"/>
  </w:num>
  <w:num w:numId="10" w16cid:durableId="1828158445">
    <w:abstractNumId w:val="10"/>
  </w:num>
  <w:num w:numId="11" w16cid:durableId="15399306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9"/>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0B7"/>
    <w:rsid w:val="0000228B"/>
    <w:rsid w:val="00003215"/>
    <w:rsid w:val="000116FE"/>
    <w:rsid w:val="00011CF7"/>
    <w:rsid w:val="00014D97"/>
    <w:rsid w:val="00016D0E"/>
    <w:rsid w:val="000174DE"/>
    <w:rsid w:val="00022131"/>
    <w:rsid w:val="000243D7"/>
    <w:rsid w:val="000273EA"/>
    <w:rsid w:val="00031AEE"/>
    <w:rsid w:val="00031F1C"/>
    <w:rsid w:val="00036CDF"/>
    <w:rsid w:val="0003796B"/>
    <w:rsid w:val="00043BBB"/>
    <w:rsid w:val="0005746B"/>
    <w:rsid w:val="000609E9"/>
    <w:rsid w:val="0006121B"/>
    <w:rsid w:val="00066210"/>
    <w:rsid w:val="000703F0"/>
    <w:rsid w:val="00072679"/>
    <w:rsid w:val="00074223"/>
    <w:rsid w:val="00074FFF"/>
    <w:rsid w:val="0007568B"/>
    <w:rsid w:val="0007570C"/>
    <w:rsid w:val="00077BC9"/>
    <w:rsid w:val="00082E5A"/>
    <w:rsid w:val="00084643"/>
    <w:rsid w:val="00084CB3"/>
    <w:rsid w:val="00085FC3"/>
    <w:rsid w:val="00087398"/>
    <w:rsid w:val="00092C3F"/>
    <w:rsid w:val="000932A9"/>
    <w:rsid w:val="000A03B1"/>
    <w:rsid w:val="000A52D0"/>
    <w:rsid w:val="000A5904"/>
    <w:rsid w:val="000B160A"/>
    <w:rsid w:val="000B3522"/>
    <w:rsid w:val="000B478B"/>
    <w:rsid w:val="000D166F"/>
    <w:rsid w:val="000D2BA7"/>
    <w:rsid w:val="000D5453"/>
    <w:rsid w:val="000D7F15"/>
    <w:rsid w:val="000E06EB"/>
    <w:rsid w:val="000E26B0"/>
    <w:rsid w:val="000E6B21"/>
    <w:rsid w:val="000F0015"/>
    <w:rsid w:val="000F5490"/>
    <w:rsid w:val="000F64E3"/>
    <w:rsid w:val="00100AD4"/>
    <w:rsid w:val="00100CA4"/>
    <w:rsid w:val="0010141C"/>
    <w:rsid w:val="0010648A"/>
    <w:rsid w:val="00117376"/>
    <w:rsid w:val="00117AE9"/>
    <w:rsid w:val="00134CEA"/>
    <w:rsid w:val="0013632E"/>
    <w:rsid w:val="00137BE6"/>
    <w:rsid w:val="0014016E"/>
    <w:rsid w:val="00141483"/>
    <w:rsid w:val="0014225A"/>
    <w:rsid w:val="001475FA"/>
    <w:rsid w:val="00153729"/>
    <w:rsid w:val="00155AAC"/>
    <w:rsid w:val="00155F4A"/>
    <w:rsid w:val="001562E6"/>
    <w:rsid w:val="00156999"/>
    <w:rsid w:val="00156BAE"/>
    <w:rsid w:val="0017003B"/>
    <w:rsid w:val="00171789"/>
    <w:rsid w:val="00177C36"/>
    <w:rsid w:val="00181858"/>
    <w:rsid w:val="00181BF4"/>
    <w:rsid w:val="0018447B"/>
    <w:rsid w:val="001873BA"/>
    <w:rsid w:val="00191A8E"/>
    <w:rsid w:val="001943A3"/>
    <w:rsid w:val="00196868"/>
    <w:rsid w:val="001A29FB"/>
    <w:rsid w:val="001A2C06"/>
    <w:rsid w:val="001A5489"/>
    <w:rsid w:val="001A5F47"/>
    <w:rsid w:val="001A6219"/>
    <w:rsid w:val="001B009E"/>
    <w:rsid w:val="001B68B7"/>
    <w:rsid w:val="001B7611"/>
    <w:rsid w:val="001B7BA2"/>
    <w:rsid w:val="001C14FB"/>
    <w:rsid w:val="001C2C9B"/>
    <w:rsid w:val="001C44D8"/>
    <w:rsid w:val="001D03EC"/>
    <w:rsid w:val="001D440B"/>
    <w:rsid w:val="001D5A38"/>
    <w:rsid w:val="001D645C"/>
    <w:rsid w:val="001D6DF7"/>
    <w:rsid w:val="001E588C"/>
    <w:rsid w:val="001F1561"/>
    <w:rsid w:val="001F2A5E"/>
    <w:rsid w:val="001F7355"/>
    <w:rsid w:val="00203881"/>
    <w:rsid w:val="002056B4"/>
    <w:rsid w:val="00207802"/>
    <w:rsid w:val="00217BC0"/>
    <w:rsid w:val="0022112C"/>
    <w:rsid w:val="00233A3E"/>
    <w:rsid w:val="00233B92"/>
    <w:rsid w:val="0023467B"/>
    <w:rsid w:val="00234D90"/>
    <w:rsid w:val="00236C31"/>
    <w:rsid w:val="00236CC1"/>
    <w:rsid w:val="002401C5"/>
    <w:rsid w:val="00240B7E"/>
    <w:rsid w:val="00240B86"/>
    <w:rsid w:val="00241249"/>
    <w:rsid w:val="002443B3"/>
    <w:rsid w:val="00245B24"/>
    <w:rsid w:val="00247164"/>
    <w:rsid w:val="0025062F"/>
    <w:rsid w:val="00253A73"/>
    <w:rsid w:val="00257F16"/>
    <w:rsid w:val="00260BD1"/>
    <w:rsid w:val="00260FFC"/>
    <w:rsid w:val="0026451D"/>
    <w:rsid w:val="00266DEE"/>
    <w:rsid w:val="00272D7F"/>
    <w:rsid w:val="00273D7F"/>
    <w:rsid w:val="00274928"/>
    <w:rsid w:val="002807DF"/>
    <w:rsid w:val="00280CE5"/>
    <w:rsid w:val="00283355"/>
    <w:rsid w:val="00287465"/>
    <w:rsid w:val="002879A0"/>
    <w:rsid w:val="002A0813"/>
    <w:rsid w:val="002A0DFA"/>
    <w:rsid w:val="002A100B"/>
    <w:rsid w:val="002A10C5"/>
    <w:rsid w:val="002A3BA4"/>
    <w:rsid w:val="002B0F3C"/>
    <w:rsid w:val="002B18C6"/>
    <w:rsid w:val="002B32B0"/>
    <w:rsid w:val="002B3ABC"/>
    <w:rsid w:val="002B774B"/>
    <w:rsid w:val="002C0B30"/>
    <w:rsid w:val="002C23BF"/>
    <w:rsid w:val="002E0406"/>
    <w:rsid w:val="002E16F8"/>
    <w:rsid w:val="002E2DA3"/>
    <w:rsid w:val="002E5EA0"/>
    <w:rsid w:val="002E702D"/>
    <w:rsid w:val="002F4570"/>
    <w:rsid w:val="002F4A63"/>
    <w:rsid w:val="002F5CC6"/>
    <w:rsid w:val="003006E3"/>
    <w:rsid w:val="00302173"/>
    <w:rsid w:val="00302A13"/>
    <w:rsid w:val="00305BBB"/>
    <w:rsid w:val="00307721"/>
    <w:rsid w:val="00310D67"/>
    <w:rsid w:val="0031175A"/>
    <w:rsid w:val="003155F6"/>
    <w:rsid w:val="00315A7A"/>
    <w:rsid w:val="003163C1"/>
    <w:rsid w:val="00317163"/>
    <w:rsid w:val="00320683"/>
    <w:rsid w:val="003207D4"/>
    <w:rsid w:val="003279B2"/>
    <w:rsid w:val="00327AED"/>
    <w:rsid w:val="00327BDA"/>
    <w:rsid w:val="003315C4"/>
    <w:rsid w:val="003328C8"/>
    <w:rsid w:val="00332A4F"/>
    <w:rsid w:val="003340FD"/>
    <w:rsid w:val="003441D7"/>
    <w:rsid w:val="003448DB"/>
    <w:rsid w:val="00345B20"/>
    <w:rsid w:val="00345B7B"/>
    <w:rsid w:val="00347100"/>
    <w:rsid w:val="003502D2"/>
    <w:rsid w:val="0035048E"/>
    <w:rsid w:val="003517E9"/>
    <w:rsid w:val="00351C0B"/>
    <w:rsid w:val="0035612B"/>
    <w:rsid w:val="00372262"/>
    <w:rsid w:val="0038029E"/>
    <w:rsid w:val="00380674"/>
    <w:rsid w:val="003817A2"/>
    <w:rsid w:val="00387B9B"/>
    <w:rsid w:val="00392158"/>
    <w:rsid w:val="00396C44"/>
    <w:rsid w:val="003A312F"/>
    <w:rsid w:val="003B0578"/>
    <w:rsid w:val="003B05B6"/>
    <w:rsid w:val="003B0F1C"/>
    <w:rsid w:val="003B11AE"/>
    <w:rsid w:val="003B15B9"/>
    <w:rsid w:val="003B202E"/>
    <w:rsid w:val="003B5EC4"/>
    <w:rsid w:val="003B7505"/>
    <w:rsid w:val="003C0868"/>
    <w:rsid w:val="003C0BE2"/>
    <w:rsid w:val="003E09CA"/>
    <w:rsid w:val="003E0EF6"/>
    <w:rsid w:val="003E2CD4"/>
    <w:rsid w:val="003E2F34"/>
    <w:rsid w:val="003E3C6E"/>
    <w:rsid w:val="003E4EE4"/>
    <w:rsid w:val="003E6B1D"/>
    <w:rsid w:val="003F00FA"/>
    <w:rsid w:val="003F0640"/>
    <w:rsid w:val="003F09ED"/>
    <w:rsid w:val="003F2373"/>
    <w:rsid w:val="003F64E2"/>
    <w:rsid w:val="00400E98"/>
    <w:rsid w:val="00412259"/>
    <w:rsid w:val="00413BA6"/>
    <w:rsid w:val="0042122D"/>
    <w:rsid w:val="0042416A"/>
    <w:rsid w:val="004302A0"/>
    <w:rsid w:val="0043044B"/>
    <w:rsid w:val="00430F76"/>
    <w:rsid w:val="00433852"/>
    <w:rsid w:val="004348B3"/>
    <w:rsid w:val="00440102"/>
    <w:rsid w:val="00442C67"/>
    <w:rsid w:val="00442D30"/>
    <w:rsid w:val="00445DEB"/>
    <w:rsid w:val="004553BB"/>
    <w:rsid w:val="004608D4"/>
    <w:rsid w:val="0046380A"/>
    <w:rsid w:val="00464223"/>
    <w:rsid w:val="00465A40"/>
    <w:rsid w:val="00470F80"/>
    <w:rsid w:val="00471449"/>
    <w:rsid w:val="00472799"/>
    <w:rsid w:val="00474558"/>
    <w:rsid w:val="0047553D"/>
    <w:rsid w:val="00476D7D"/>
    <w:rsid w:val="004772E4"/>
    <w:rsid w:val="004803FB"/>
    <w:rsid w:val="00482035"/>
    <w:rsid w:val="00483A15"/>
    <w:rsid w:val="00485737"/>
    <w:rsid w:val="0048614A"/>
    <w:rsid w:val="00487B4A"/>
    <w:rsid w:val="004912AC"/>
    <w:rsid w:val="00494BCC"/>
    <w:rsid w:val="004A274D"/>
    <w:rsid w:val="004A3979"/>
    <w:rsid w:val="004A4963"/>
    <w:rsid w:val="004A5B52"/>
    <w:rsid w:val="004B62F4"/>
    <w:rsid w:val="004C0069"/>
    <w:rsid w:val="004C0F16"/>
    <w:rsid w:val="004C2701"/>
    <w:rsid w:val="004C7346"/>
    <w:rsid w:val="004C7807"/>
    <w:rsid w:val="004C7A12"/>
    <w:rsid w:val="004D56A1"/>
    <w:rsid w:val="004E145A"/>
    <w:rsid w:val="004E346E"/>
    <w:rsid w:val="004E3F8A"/>
    <w:rsid w:val="004E40AE"/>
    <w:rsid w:val="004F0C86"/>
    <w:rsid w:val="004F0D7A"/>
    <w:rsid w:val="004F152D"/>
    <w:rsid w:val="004F45D1"/>
    <w:rsid w:val="0050787B"/>
    <w:rsid w:val="00511639"/>
    <w:rsid w:val="00511D64"/>
    <w:rsid w:val="00513015"/>
    <w:rsid w:val="005150BB"/>
    <w:rsid w:val="00520307"/>
    <w:rsid w:val="00526B44"/>
    <w:rsid w:val="005301C7"/>
    <w:rsid w:val="00535BD7"/>
    <w:rsid w:val="00537B90"/>
    <w:rsid w:val="00542221"/>
    <w:rsid w:val="0054267C"/>
    <w:rsid w:val="00550CF3"/>
    <w:rsid w:val="005512B9"/>
    <w:rsid w:val="0056016D"/>
    <w:rsid w:val="005714A8"/>
    <w:rsid w:val="00573396"/>
    <w:rsid w:val="00573769"/>
    <w:rsid w:val="00576189"/>
    <w:rsid w:val="00584D71"/>
    <w:rsid w:val="005950C2"/>
    <w:rsid w:val="005A61C8"/>
    <w:rsid w:val="005A7853"/>
    <w:rsid w:val="005B24F7"/>
    <w:rsid w:val="005B5B1D"/>
    <w:rsid w:val="005B65F4"/>
    <w:rsid w:val="005B6C65"/>
    <w:rsid w:val="005C0B1E"/>
    <w:rsid w:val="005C103B"/>
    <w:rsid w:val="005C2E2F"/>
    <w:rsid w:val="005C3D64"/>
    <w:rsid w:val="005D1961"/>
    <w:rsid w:val="005D73EE"/>
    <w:rsid w:val="005E3873"/>
    <w:rsid w:val="005E3D74"/>
    <w:rsid w:val="005E5E25"/>
    <w:rsid w:val="005E6FAA"/>
    <w:rsid w:val="005F30B9"/>
    <w:rsid w:val="005F32D3"/>
    <w:rsid w:val="005F4EEE"/>
    <w:rsid w:val="005F678F"/>
    <w:rsid w:val="0060747A"/>
    <w:rsid w:val="00610A7C"/>
    <w:rsid w:val="00611459"/>
    <w:rsid w:val="00611871"/>
    <w:rsid w:val="0061367A"/>
    <w:rsid w:val="00613883"/>
    <w:rsid w:val="00617881"/>
    <w:rsid w:val="0062382D"/>
    <w:rsid w:val="00623E1C"/>
    <w:rsid w:val="006243A1"/>
    <w:rsid w:val="006315FC"/>
    <w:rsid w:val="00631E53"/>
    <w:rsid w:val="006337FC"/>
    <w:rsid w:val="006367F7"/>
    <w:rsid w:val="006375C0"/>
    <w:rsid w:val="006435D4"/>
    <w:rsid w:val="00644471"/>
    <w:rsid w:val="00645538"/>
    <w:rsid w:val="006479C7"/>
    <w:rsid w:val="00650E31"/>
    <w:rsid w:val="006559F3"/>
    <w:rsid w:val="00655F76"/>
    <w:rsid w:val="006560F4"/>
    <w:rsid w:val="006572F1"/>
    <w:rsid w:val="00660E4B"/>
    <w:rsid w:val="00660EEF"/>
    <w:rsid w:val="0066326A"/>
    <w:rsid w:val="0066505A"/>
    <w:rsid w:val="006659B9"/>
    <w:rsid w:val="00665DD1"/>
    <w:rsid w:val="00673E57"/>
    <w:rsid w:val="006775C3"/>
    <w:rsid w:val="006800B7"/>
    <w:rsid w:val="006824A5"/>
    <w:rsid w:val="00683082"/>
    <w:rsid w:val="00684789"/>
    <w:rsid w:val="00687EE9"/>
    <w:rsid w:val="006917C9"/>
    <w:rsid w:val="006937F3"/>
    <w:rsid w:val="0069419C"/>
    <w:rsid w:val="00694CA2"/>
    <w:rsid w:val="0069731A"/>
    <w:rsid w:val="0069754D"/>
    <w:rsid w:val="006A2F37"/>
    <w:rsid w:val="006A43FE"/>
    <w:rsid w:val="006A6780"/>
    <w:rsid w:val="006B4A92"/>
    <w:rsid w:val="006B4B6B"/>
    <w:rsid w:val="006B6E3C"/>
    <w:rsid w:val="006B706B"/>
    <w:rsid w:val="006C5D62"/>
    <w:rsid w:val="006C6107"/>
    <w:rsid w:val="006D06AB"/>
    <w:rsid w:val="006D1391"/>
    <w:rsid w:val="006D45D9"/>
    <w:rsid w:val="006D50A0"/>
    <w:rsid w:val="006D6827"/>
    <w:rsid w:val="006E027F"/>
    <w:rsid w:val="006E0751"/>
    <w:rsid w:val="006E241F"/>
    <w:rsid w:val="006E5949"/>
    <w:rsid w:val="006E667B"/>
    <w:rsid w:val="006F0F5E"/>
    <w:rsid w:val="006F2C66"/>
    <w:rsid w:val="006F32FD"/>
    <w:rsid w:val="00700886"/>
    <w:rsid w:val="00706201"/>
    <w:rsid w:val="00707F5C"/>
    <w:rsid w:val="00710BA6"/>
    <w:rsid w:val="00713171"/>
    <w:rsid w:val="0071568F"/>
    <w:rsid w:val="007160CF"/>
    <w:rsid w:val="00716617"/>
    <w:rsid w:val="00721B35"/>
    <w:rsid w:val="007260E9"/>
    <w:rsid w:val="00726CB6"/>
    <w:rsid w:val="00732398"/>
    <w:rsid w:val="0073292C"/>
    <w:rsid w:val="00733544"/>
    <w:rsid w:val="0073521D"/>
    <w:rsid w:val="007363FB"/>
    <w:rsid w:val="0073697E"/>
    <w:rsid w:val="007428AB"/>
    <w:rsid w:val="00746569"/>
    <w:rsid w:val="00751355"/>
    <w:rsid w:val="007514EC"/>
    <w:rsid w:val="00751F41"/>
    <w:rsid w:val="00753A11"/>
    <w:rsid w:val="00755B5F"/>
    <w:rsid w:val="007568F2"/>
    <w:rsid w:val="00761062"/>
    <w:rsid w:val="0076176F"/>
    <w:rsid w:val="00761822"/>
    <w:rsid w:val="00766143"/>
    <w:rsid w:val="00770106"/>
    <w:rsid w:val="00770C69"/>
    <w:rsid w:val="007744D9"/>
    <w:rsid w:val="007763CE"/>
    <w:rsid w:val="00780604"/>
    <w:rsid w:val="00782F68"/>
    <w:rsid w:val="00784288"/>
    <w:rsid w:val="00784690"/>
    <w:rsid w:val="00787E87"/>
    <w:rsid w:val="00793AD5"/>
    <w:rsid w:val="007A171E"/>
    <w:rsid w:val="007A3E8D"/>
    <w:rsid w:val="007A3F21"/>
    <w:rsid w:val="007A4B75"/>
    <w:rsid w:val="007A4D30"/>
    <w:rsid w:val="007A5165"/>
    <w:rsid w:val="007A69AD"/>
    <w:rsid w:val="007A7F51"/>
    <w:rsid w:val="007B00BB"/>
    <w:rsid w:val="007B1DBB"/>
    <w:rsid w:val="007B33B2"/>
    <w:rsid w:val="007B520E"/>
    <w:rsid w:val="007B63A0"/>
    <w:rsid w:val="007B71B9"/>
    <w:rsid w:val="007B7664"/>
    <w:rsid w:val="007B7DD2"/>
    <w:rsid w:val="007C2C2B"/>
    <w:rsid w:val="007C5294"/>
    <w:rsid w:val="007C7557"/>
    <w:rsid w:val="007C7A0C"/>
    <w:rsid w:val="007E0399"/>
    <w:rsid w:val="007E2D3F"/>
    <w:rsid w:val="007E341F"/>
    <w:rsid w:val="007E3970"/>
    <w:rsid w:val="007E528A"/>
    <w:rsid w:val="007F6FF6"/>
    <w:rsid w:val="00801CBD"/>
    <w:rsid w:val="008033DF"/>
    <w:rsid w:val="00810FA5"/>
    <w:rsid w:val="008119C4"/>
    <w:rsid w:val="00811ADD"/>
    <w:rsid w:val="008138E6"/>
    <w:rsid w:val="00815BD9"/>
    <w:rsid w:val="00822C99"/>
    <w:rsid w:val="00823AC7"/>
    <w:rsid w:val="008253DF"/>
    <w:rsid w:val="00830F29"/>
    <w:rsid w:val="008319DB"/>
    <w:rsid w:val="008325FD"/>
    <w:rsid w:val="00835088"/>
    <w:rsid w:val="00840070"/>
    <w:rsid w:val="00840DA5"/>
    <w:rsid w:val="008421F0"/>
    <w:rsid w:val="00842F6C"/>
    <w:rsid w:val="00845DA2"/>
    <w:rsid w:val="00846ADB"/>
    <w:rsid w:val="00852404"/>
    <w:rsid w:val="00854050"/>
    <w:rsid w:val="008578C4"/>
    <w:rsid w:val="00857B9F"/>
    <w:rsid w:val="0086006E"/>
    <w:rsid w:val="008623BA"/>
    <w:rsid w:val="008636F1"/>
    <w:rsid w:val="008659A0"/>
    <w:rsid w:val="00867D04"/>
    <w:rsid w:val="0088017B"/>
    <w:rsid w:val="00880459"/>
    <w:rsid w:val="00887965"/>
    <w:rsid w:val="00887D73"/>
    <w:rsid w:val="00891021"/>
    <w:rsid w:val="008960D6"/>
    <w:rsid w:val="008A090A"/>
    <w:rsid w:val="008A0DBC"/>
    <w:rsid w:val="008A3F52"/>
    <w:rsid w:val="008A4C71"/>
    <w:rsid w:val="008A74CD"/>
    <w:rsid w:val="008A7735"/>
    <w:rsid w:val="008C1E12"/>
    <w:rsid w:val="008C3AC3"/>
    <w:rsid w:val="008C6573"/>
    <w:rsid w:val="008D136B"/>
    <w:rsid w:val="008D256C"/>
    <w:rsid w:val="008D2598"/>
    <w:rsid w:val="008D2EBB"/>
    <w:rsid w:val="008D7AA5"/>
    <w:rsid w:val="008E1364"/>
    <w:rsid w:val="008E2A65"/>
    <w:rsid w:val="008E2F5C"/>
    <w:rsid w:val="008E3BA6"/>
    <w:rsid w:val="008E46E8"/>
    <w:rsid w:val="008F173D"/>
    <w:rsid w:val="008F781D"/>
    <w:rsid w:val="009002D6"/>
    <w:rsid w:val="00901F2F"/>
    <w:rsid w:val="00903A97"/>
    <w:rsid w:val="00903C9B"/>
    <w:rsid w:val="00904B2E"/>
    <w:rsid w:val="00904EA9"/>
    <w:rsid w:val="00906B57"/>
    <w:rsid w:val="009102A0"/>
    <w:rsid w:val="009115C0"/>
    <w:rsid w:val="009131DC"/>
    <w:rsid w:val="00920036"/>
    <w:rsid w:val="009208EA"/>
    <w:rsid w:val="00920D68"/>
    <w:rsid w:val="00922A2F"/>
    <w:rsid w:val="00926D2E"/>
    <w:rsid w:val="00930A83"/>
    <w:rsid w:val="009358C6"/>
    <w:rsid w:val="00935F88"/>
    <w:rsid w:val="009366FC"/>
    <w:rsid w:val="009447FD"/>
    <w:rsid w:val="009525E5"/>
    <w:rsid w:val="00952DBF"/>
    <w:rsid w:val="00957F4D"/>
    <w:rsid w:val="009606CF"/>
    <w:rsid w:val="00960D9D"/>
    <w:rsid w:val="009670D7"/>
    <w:rsid w:val="0096770E"/>
    <w:rsid w:val="00972652"/>
    <w:rsid w:val="00976E69"/>
    <w:rsid w:val="0098021D"/>
    <w:rsid w:val="0098043D"/>
    <w:rsid w:val="00980E56"/>
    <w:rsid w:val="00983ACA"/>
    <w:rsid w:val="00986182"/>
    <w:rsid w:val="00991262"/>
    <w:rsid w:val="00991F8A"/>
    <w:rsid w:val="00993E0E"/>
    <w:rsid w:val="00994E24"/>
    <w:rsid w:val="00995B08"/>
    <w:rsid w:val="009A021D"/>
    <w:rsid w:val="009A21F7"/>
    <w:rsid w:val="009B01B6"/>
    <w:rsid w:val="009B050F"/>
    <w:rsid w:val="009B0748"/>
    <w:rsid w:val="009B6A53"/>
    <w:rsid w:val="009C0735"/>
    <w:rsid w:val="009C0DB1"/>
    <w:rsid w:val="009C294F"/>
    <w:rsid w:val="009C5E70"/>
    <w:rsid w:val="009D20EE"/>
    <w:rsid w:val="009D2F95"/>
    <w:rsid w:val="009D3497"/>
    <w:rsid w:val="009D3DF8"/>
    <w:rsid w:val="009D59BC"/>
    <w:rsid w:val="009D71A4"/>
    <w:rsid w:val="009E48C3"/>
    <w:rsid w:val="009F3700"/>
    <w:rsid w:val="009F4871"/>
    <w:rsid w:val="00A11DE6"/>
    <w:rsid w:val="00A14F02"/>
    <w:rsid w:val="00A16B83"/>
    <w:rsid w:val="00A210FF"/>
    <w:rsid w:val="00A2170A"/>
    <w:rsid w:val="00A21D2A"/>
    <w:rsid w:val="00A22777"/>
    <w:rsid w:val="00A23F34"/>
    <w:rsid w:val="00A25D75"/>
    <w:rsid w:val="00A26C34"/>
    <w:rsid w:val="00A31A1F"/>
    <w:rsid w:val="00A40D15"/>
    <w:rsid w:val="00A41E2E"/>
    <w:rsid w:val="00A440D0"/>
    <w:rsid w:val="00A44109"/>
    <w:rsid w:val="00A45E46"/>
    <w:rsid w:val="00A46F5C"/>
    <w:rsid w:val="00A504BC"/>
    <w:rsid w:val="00A50FDA"/>
    <w:rsid w:val="00A51818"/>
    <w:rsid w:val="00A53EE0"/>
    <w:rsid w:val="00A551A7"/>
    <w:rsid w:val="00A65210"/>
    <w:rsid w:val="00A66F94"/>
    <w:rsid w:val="00A71AD2"/>
    <w:rsid w:val="00A73777"/>
    <w:rsid w:val="00A738C8"/>
    <w:rsid w:val="00A74833"/>
    <w:rsid w:val="00A857E6"/>
    <w:rsid w:val="00A90B45"/>
    <w:rsid w:val="00A92052"/>
    <w:rsid w:val="00A943CE"/>
    <w:rsid w:val="00A967D2"/>
    <w:rsid w:val="00A96ABB"/>
    <w:rsid w:val="00AA0C5B"/>
    <w:rsid w:val="00AA19C5"/>
    <w:rsid w:val="00AA3A50"/>
    <w:rsid w:val="00AA3BEF"/>
    <w:rsid w:val="00AA493C"/>
    <w:rsid w:val="00AB218D"/>
    <w:rsid w:val="00AB471E"/>
    <w:rsid w:val="00AB5101"/>
    <w:rsid w:val="00AC32B0"/>
    <w:rsid w:val="00AC6993"/>
    <w:rsid w:val="00AC7A79"/>
    <w:rsid w:val="00AD1913"/>
    <w:rsid w:val="00AD277A"/>
    <w:rsid w:val="00AD3184"/>
    <w:rsid w:val="00AE0320"/>
    <w:rsid w:val="00AE0B0D"/>
    <w:rsid w:val="00AE0BB6"/>
    <w:rsid w:val="00AE3146"/>
    <w:rsid w:val="00AE6204"/>
    <w:rsid w:val="00AF2B8C"/>
    <w:rsid w:val="00AF40DD"/>
    <w:rsid w:val="00AF6608"/>
    <w:rsid w:val="00AF7871"/>
    <w:rsid w:val="00B05E8C"/>
    <w:rsid w:val="00B202FD"/>
    <w:rsid w:val="00B2048C"/>
    <w:rsid w:val="00B24081"/>
    <w:rsid w:val="00B25C69"/>
    <w:rsid w:val="00B3198D"/>
    <w:rsid w:val="00B33B9E"/>
    <w:rsid w:val="00B36AAB"/>
    <w:rsid w:val="00B377F9"/>
    <w:rsid w:val="00B423A0"/>
    <w:rsid w:val="00B433BA"/>
    <w:rsid w:val="00B46DC8"/>
    <w:rsid w:val="00B47810"/>
    <w:rsid w:val="00B5208C"/>
    <w:rsid w:val="00B52BAD"/>
    <w:rsid w:val="00B52D0F"/>
    <w:rsid w:val="00B533EB"/>
    <w:rsid w:val="00B6015F"/>
    <w:rsid w:val="00B62BB8"/>
    <w:rsid w:val="00B64B50"/>
    <w:rsid w:val="00B802FA"/>
    <w:rsid w:val="00B80B25"/>
    <w:rsid w:val="00B80E93"/>
    <w:rsid w:val="00B82FD5"/>
    <w:rsid w:val="00B84185"/>
    <w:rsid w:val="00B85A11"/>
    <w:rsid w:val="00B86AB0"/>
    <w:rsid w:val="00B92A48"/>
    <w:rsid w:val="00B947BB"/>
    <w:rsid w:val="00B949C7"/>
    <w:rsid w:val="00BA1763"/>
    <w:rsid w:val="00BA2A0C"/>
    <w:rsid w:val="00BA6CDA"/>
    <w:rsid w:val="00BA7C36"/>
    <w:rsid w:val="00BB0816"/>
    <w:rsid w:val="00BB181E"/>
    <w:rsid w:val="00BB1A33"/>
    <w:rsid w:val="00BB42A9"/>
    <w:rsid w:val="00BB717B"/>
    <w:rsid w:val="00BC1613"/>
    <w:rsid w:val="00BC233C"/>
    <w:rsid w:val="00BC2C23"/>
    <w:rsid w:val="00BD1227"/>
    <w:rsid w:val="00BD1E06"/>
    <w:rsid w:val="00BD2C41"/>
    <w:rsid w:val="00BE3BD0"/>
    <w:rsid w:val="00BE4570"/>
    <w:rsid w:val="00BE5BBB"/>
    <w:rsid w:val="00BE7A23"/>
    <w:rsid w:val="00BF1554"/>
    <w:rsid w:val="00BF22C7"/>
    <w:rsid w:val="00BF3E48"/>
    <w:rsid w:val="00C03EC3"/>
    <w:rsid w:val="00C111A7"/>
    <w:rsid w:val="00C12E3D"/>
    <w:rsid w:val="00C147A1"/>
    <w:rsid w:val="00C159CC"/>
    <w:rsid w:val="00C1615D"/>
    <w:rsid w:val="00C457D0"/>
    <w:rsid w:val="00C4588E"/>
    <w:rsid w:val="00C4700E"/>
    <w:rsid w:val="00C47D9E"/>
    <w:rsid w:val="00C51CCB"/>
    <w:rsid w:val="00C62E44"/>
    <w:rsid w:val="00C63E02"/>
    <w:rsid w:val="00C64552"/>
    <w:rsid w:val="00C6713A"/>
    <w:rsid w:val="00C71D50"/>
    <w:rsid w:val="00C72B3A"/>
    <w:rsid w:val="00C76D27"/>
    <w:rsid w:val="00C82501"/>
    <w:rsid w:val="00C83174"/>
    <w:rsid w:val="00C84C06"/>
    <w:rsid w:val="00C86446"/>
    <w:rsid w:val="00C87EBA"/>
    <w:rsid w:val="00C96F87"/>
    <w:rsid w:val="00CA2E7D"/>
    <w:rsid w:val="00CA741A"/>
    <w:rsid w:val="00CA7A73"/>
    <w:rsid w:val="00CB0950"/>
    <w:rsid w:val="00CB13C0"/>
    <w:rsid w:val="00CB1E1A"/>
    <w:rsid w:val="00CB2EBA"/>
    <w:rsid w:val="00CB79B8"/>
    <w:rsid w:val="00CC1152"/>
    <w:rsid w:val="00CC56E4"/>
    <w:rsid w:val="00CC7077"/>
    <w:rsid w:val="00CD4E8B"/>
    <w:rsid w:val="00CD56BB"/>
    <w:rsid w:val="00CE0EB0"/>
    <w:rsid w:val="00CE3411"/>
    <w:rsid w:val="00CE55F8"/>
    <w:rsid w:val="00CE79BF"/>
    <w:rsid w:val="00CF0796"/>
    <w:rsid w:val="00CF0A09"/>
    <w:rsid w:val="00CF4698"/>
    <w:rsid w:val="00CF701A"/>
    <w:rsid w:val="00D03615"/>
    <w:rsid w:val="00D06B69"/>
    <w:rsid w:val="00D07C86"/>
    <w:rsid w:val="00D11523"/>
    <w:rsid w:val="00D20306"/>
    <w:rsid w:val="00D23D64"/>
    <w:rsid w:val="00D249A3"/>
    <w:rsid w:val="00D24CAC"/>
    <w:rsid w:val="00D32637"/>
    <w:rsid w:val="00D33196"/>
    <w:rsid w:val="00D35255"/>
    <w:rsid w:val="00D377C1"/>
    <w:rsid w:val="00D37E8A"/>
    <w:rsid w:val="00D43B67"/>
    <w:rsid w:val="00D500BF"/>
    <w:rsid w:val="00D50811"/>
    <w:rsid w:val="00D546E2"/>
    <w:rsid w:val="00D626C7"/>
    <w:rsid w:val="00D63A85"/>
    <w:rsid w:val="00D63EAA"/>
    <w:rsid w:val="00D7113E"/>
    <w:rsid w:val="00D72841"/>
    <w:rsid w:val="00D77AD0"/>
    <w:rsid w:val="00D82C22"/>
    <w:rsid w:val="00D85B40"/>
    <w:rsid w:val="00D9080B"/>
    <w:rsid w:val="00D9174F"/>
    <w:rsid w:val="00D92406"/>
    <w:rsid w:val="00D97333"/>
    <w:rsid w:val="00DA14CC"/>
    <w:rsid w:val="00DA2D3A"/>
    <w:rsid w:val="00DB6F29"/>
    <w:rsid w:val="00DC2170"/>
    <w:rsid w:val="00DC6E1F"/>
    <w:rsid w:val="00DD35BD"/>
    <w:rsid w:val="00DD76EA"/>
    <w:rsid w:val="00DE3652"/>
    <w:rsid w:val="00DE4F54"/>
    <w:rsid w:val="00DE5389"/>
    <w:rsid w:val="00DE5984"/>
    <w:rsid w:val="00DE5D68"/>
    <w:rsid w:val="00DF1DEF"/>
    <w:rsid w:val="00DF25E9"/>
    <w:rsid w:val="00DF2D97"/>
    <w:rsid w:val="00DF411D"/>
    <w:rsid w:val="00DF4C7B"/>
    <w:rsid w:val="00DF6EC4"/>
    <w:rsid w:val="00DF7EFF"/>
    <w:rsid w:val="00E010A9"/>
    <w:rsid w:val="00E0350E"/>
    <w:rsid w:val="00E038D2"/>
    <w:rsid w:val="00E13BE1"/>
    <w:rsid w:val="00E14A2F"/>
    <w:rsid w:val="00E15219"/>
    <w:rsid w:val="00E1754D"/>
    <w:rsid w:val="00E2018A"/>
    <w:rsid w:val="00E20E26"/>
    <w:rsid w:val="00E25206"/>
    <w:rsid w:val="00E27D7A"/>
    <w:rsid w:val="00E322B0"/>
    <w:rsid w:val="00E369E5"/>
    <w:rsid w:val="00E37268"/>
    <w:rsid w:val="00E37329"/>
    <w:rsid w:val="00E402CB"/>
    <w:rsid w:val="00E40D79"/>
    <w:rsid w:val="00E41EF7"/>
    <w:rsid w:val="00E46B16"/>
    <w:rsid w:val="00E51D4F"/>
    <w:rsid w:val="00E526DB"/>
    <w:rsid w:val="00E5311A"/>
    <w:rsid w:val="00E54401"/>
    <w:rsid w:val="00E548CF"/>
    <w:rsid w:val="00E54EC2"/>
    <w:rsid w:val="00E571A1"/>
    <w:rsid w:val="00E64F5F"/>
    <w:rsid w:val="00E72F5A"/>
    <w:rsid w:val="00E740FE"/>
    <w:rsid w:val="00E85425"/>
    <w:rsid w:val="00E8685F"/>
    <w:rsid w:val="00E87259"/>
    <w:rsid w:val="00E87A5D"/>
    <w:rsid w:val="00E95C86"/>
    <w:rsid w:val="00E969E8"/>
    <w:rsid w:val="00E96B51"/>
    <w:rsid w:val="00E9788D"/>
    <w:rsid w:val="00EA2B92"/>
    <w:rsid w:val="00EA3A42"/>
    <w:rsid w:val="00EA7B30"/>
    <w:rsid w:val="00EB2F99"/>
    <w:rsid w:val="00EB5B1E"/>
    <w:rsid w:val="00EB77CC"/>
    <w:rsid w:val="00EC0164"/>
    <w:rsid w:val="00EC2A41"/>
    <w:rsid w:val="00ED02D2"/>
    <w:rsid w:val="00ED424D"/>
    <w:rsid w:val="00ED639A"/>
    <w:rsid w:val="00ED68F7"/>
    <w:rsid w:val="00EE13E4"/>
    <w:rsid w:val="00EF0528"/>
    <w:rsid w:val="00EF137F"/>
    <w:rsid w:val="00EF272D"/>
    <w:rsid w:val="00EF2C65"/>
    <w:rsid w:val="00EF5890"/>
    <w:rsid w:val="00EF63DD"/>
    <w:rsid w:val="00EF6EE8"/>
    <w:rsid w:val="00EF7058"/>
    <w:rsid w:val="00EF7F04"/>
    <w:rsid w:val="00F0189D"/>
    <w:rsid w:val="00F02BF7"/>
    <w:rsid w:val="00F07277"/>
    <w:rsid w:val="00F07AD7"/>
    <w:rsid w:val="00F11D6E"/>
    <w:rsid w:val="00F1351D"/>
    <w:rsid w:val="00F13607"/>
    <w:rsid w:val="00F14815"/>
    <w:rsid w:val="00F179C6"/>
    <w:rsid w:val="00F205B9"/>
    <w:rsid w:val="00F21704"/>
    <w:rsid w:val="00F22B59"/>
    <w:rsid w:val="00F27D6D"/>
    <w:rsid w:val="00F3367F"/>
    <w:rsid w:val="00F35B84"/>
    <w:rsid w:val="00F36FFA"/>
    <w:rsid w:val="00F37DBA"/>
    <w:rsid w:val="00F42F27"/>
    <w:rsid w:val="00F4342F"/>
    <w:rsid w:val="00F45BD2"/>
    <w:rsid w:val="00F465AF"/>
    <w:rsid w:val="00F531DC"/>
    <w:rsid w:val="00F5490A"/>
    <w:rsid w:val="00F56ECA"/>
    <w:rsid w:val="00F609FF"/>
    <w:rsid w:val="00F62709"/>
    <w:rsid w:val="00F74ABE"/>
    <w:rsid w:val="00F77174"/>
    <w:rsid w:val="00F82BB2"/>
    <w:rsid w:val="00F83287"/>
    <w:rsid w:val="00F8453F"/>
    <w:rsid w:val="00F8567F"/>
    <w:rsid w:val="00F879F1"/>
    <w:rsid w:val="00F87ACD"/>
    <w:rsid w:val="00F922C8"/>
    <w:rsid w:val="00F92806"/>
    <w:rsid w:val="00F96432"/>
    <w:rsid w:val="00FA0018"/>
    <w:rsid w:val="00FA2569"/>
    <w:rsid w:val="00FA25CA"/>
    <w:rsid w:val="00FA5078"/>
    <w:rsid w:val="00FB0247"/>
    <w:rsid w:val="00FB2164"/>
    <w:rsid w:val="00FB549E"/>
    <w:rsid w:val="00FB5BEA"/>
    <w:rsid w:val="00FB715B"/>
    <w:rsid w:val="00FC12F8"/>
    <w:rsid w:val="00FC2C57"/>
    <w:rsid w:val="00FD20B2"/>
    <w:rsid w:val="00FD253B"/>
    <w:rsid w:val="00FE0AAC"/>
    <w:rsid w:val="00FE0AF3"/>
    <w:rsid w:val="00FE1495"/>
    <w:rsid w:val="00FE1B8A"/>
    <w:rsid w:val="00FE41C2"/>
    <w:rsid w:val="00FE48C5"/>
    <w:rsid w:val="00FF0E45"/>
    <w:rsid w:val="00FF17E2"/>
    <w:rsid w:val="00FF180D"/>
    <w:rsid w:val="00FF26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9FD83DB"/>
  <w15:chartTrackingRefBased/>
  <w15:docId w15:val="{C1CBF0B9-0FF9-2D40-94E5-56A2E5CB0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00B7"/>
  </w:style>
  <w:style w:type="paragraph" w:styleId="Heading1">
    <w:name w:val="heading 1"/>
    <w:basedOn w:val="Normal"/>
    <w:next w:val="Normal"/>
    <w:link w:val="Heading1Char"/>
    <w:uiPriority w:val="9"/>
    <w:qFormat/>
    <w:rsid w:val="006800B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800B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800B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800B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800B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800B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800B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800B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800B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00B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800B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800B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800B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800B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800B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800B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800B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800B7"/>
    <w:rPr>
      <w:rFonts w:eastAsiaTheme="majorEastAsia" w:cstheme="majorBidi"/>
      <w:color w:val="272727" w:themeColor="text1" w:themeTint="D8"/>
    </w:rPr>
  </w:style>
  <w:style w:type="paragraph" w:styleId="Title">
    <w:name w:val="Title"/>
    <w:basedOn w:val="Normal"/>
    <w:next w:val="Normal"/>
    <w:link w:val="TitleChar"/>
    <w:uiPriority w:val="10"/>
    <w:qFormat/>
    <w:rsid w:val="006800B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800B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800B7"/>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800B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800B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800B7"/>
    <w:rPr>
      <w:i/>
      <w:iCs/>
      <w:color w:val="404040" w:themeColor="text1" w:themeTint="BF"/>
    </w:rPr>
  </w:style>
  <w:style w:type="paragraph" w:styleId="ListParagraph">
    <w:name w:val="List Paragraph"/>
    <w:basedOn w:val="Normal"/>
    <w:uiPriority w:val="34"/>
    <w:qFormat/>
    <w:rsid w:val="006800B7"/>
    <w:pPr>
      <w:ind w:left="720"/>
      <w:contextualSpacing/>
    </w:pPr>
  </w:style>
  <w:style w:type="character" w:styleId="IntenseEmphasis">
    <w:name w:val="Intense Emphasis"/>
    <w:basedOn w:val="DefaultParagraphFont"/>
    <w:uiPriority w:val="21"/>
    <w:qFormat/>
    <w:rsid w:val="006800B7"/>
    <w:rPr>
      <w:i/>
      <w:iCs/>
      <w:color w:val="0F4761" w:themeColor="accent1" w:themeShade="BF"/>
    </w:rPr>
  </w:style>
  <w:style w:type="paragraph" w:styleId="IntenseQuote">
    <w:name w:val="Intense Quote"/>
    <w:basedOn w:val="Normal"/>
    <w:next w:val="Normal"/>
    <w:link w:val="IntenseQuoteChar"/>
    <w:uiPriority w:val="30"/>
    <w:qFormat/>
    <w:rsid w:val="006800B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800B7"/>
    <w:rPr>
      <w:i/>
      <w:iCs/>
      <w:color w:val="0F4761" w:themeColor="accent1" w:themeShade="BF"/>
    </w:rPr>
  </w:style>
  <w:style w:type="character" w:styleId="IntenseReference">
    <w:name w:val="Intense Reference"/>
    <w:basedOn w:val="DefaultParagraphFont"/>
    <w:uiPriority w:val="32"/>
    <w:qFormat/>
    <w:rsid w:val="006800B7"/>
    <w:rPr>
      <w:b/>
      <w:bCs/>
      <w:smallCaps/>
      <w:color w:val="0F4761" w:themeColor="accent1" w:themeShade="BF"/>
      <w:spacing w:val="5"/>
    </w:rPr>
  </w:style>
  <w:style w:type="paragraph" w:styleId="FootnoteText">
    <w:name w:val="footnote text"/>
    <w:basedOn w:val="Normal"/>
    <w:link w:val="FootnoteTextChar"/>
    <w:uiPriority w:val="99"/>
    <w:semiHidden/>
    <w:unhideWhenUsed/>
    <w:rsid w:val="00F531DC"/>
    <w:rPr>
      <w:sz w:val="20"/>
      <w:szCs w:val="20"/>
    </w:rPr>
  </w:style>
  <w:style w:type="character" w:customStyle="1" w:styleId="FootnoteTextChar">
    <w:name w:val="Footnote Text Char"/>
    <w:basedOn w:val="DefaultParagraphFont"/>
    <w:link w:val="FootnoteText"/>
    <w:uiPriority w:val="99"/>
    <w:semiHidden/>
    <w:rsid w:val="00F531DC"/>
    <w:rPr>
      <w:sz w:val="20"/>
      <w:szCs w:val="20"/>
    </w:rPr>
  </w:style>
  <w:style w:type="character" w:styleId="FootnoteReference">
    <w:name w:val="footnote reference"/>
    <w:basedOn w:val="DefaultParagraphFont"/>
    <w:uiPriority w:val="99"/>
    <w:semiHidden/>
    <w:unhideWhenUsed/>
    <w:rsid w:val="00F531DC"/>
    <w:rPr>
      <w:vertAlign w:val="superscript"/>
    </w:rPr>
  </w:style>
  <w:style w:type="paragraph" w:styleId="Footer">
    <w:name w:val="footer"/>
    <w:basedOn w:val="Normal"/>
    <w:link w:val="FooterChar"/>
    <w:uiPriority w:val="99"/>
    <w:unhideWhenUsed/>
    <w:rsid w:val="00E96B51"/>
    <w:pPr>
      <w:tabs>
        <w:tab w:val="center" w:pos="4513"/>
        <w:tab w:val="right" w:pos="9026"/>
      </w:tabs>
    </w:pPr>
  </w:style>
  <w:style w:type="character" w:customStyle="1" w:styleId="FooterChar">
    <w:name w:val="Footer Char"/>
    <w:basedOn w:val="DefaultParagraphFont"/>
    <w:link w:val="Footer"/>
    <w:uiPriority w:val="99"/>
    <w:rsid w:val="00E96B51"/>
  </w:style>
  <w:style w:type="character" w:styleId="PageNumber">
    <w:name w:val="page number"/>
    <w:basedOn w:val="DefaultParagraphFont"/>
    <w:uiPriority w:val="99"/>
    <w:semiHidden/>
    <w:unhideWhenUsed/>
    <w:rsid w:val="00E96B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6035682">
      <w:bodyDiv w:val="1"/>
      <w:marLeft w:val="0"/>
      <w:marRight w:val="0"/>
      <w:marTop w:val="0"/>
      <w:marBottom w:val="0"/>
      <w:divBdr>
        <w:top w:val="none" w:sz="0" w:space="0" w:color="auto"/>
        <w:left w:val="none" w:sz="0" w:space="0" w:color="auto"/>
        <w:bottom w:val="none" w:sz="0" w:space="0" w:color="auto"/>
        <w:right w:val="none" w:sz="0" w:space="0" w:color="auto"/>
      </w:divBdr>
      <w:divsChild>
        <w:div w:id="47533146">
          <w:marLeft w:val="0"/>
          <w:marRight w:val="0"/>
          <w:marTop w:val="0"/>
          <w:marBottom w:val="0"/>
          <w:divBdr>
            <w:top w:val="none" w:sz="0" w:space="0" w:color="auto"/>
            <w:left w:val="none" w:sz="0" w:space="0" w:color="auto"/>
            <w:bottom w:val="none" w:sz="0" w:space="0" w:color="auto"/>
            <w:right w:val="none" w:sz="0" w:space="0" w:color="auto"/>
          </w:divBdr>
          <w:divsChild>
            <w:div w:id="1564750194">
              <w:marLeft w:val="0"/>
              <w:marRight w:val="0"/>
              <w:marTop w:val="0"/>
              <w:marBottom w:val="0"/>
              <w:divBdr>
                <w:top w:val="none" w:sz="0" w:space="0" w:color="auto"/>
                <w:left w:val="none" w:sz="0" w:space="0" w:color="auto"/>
                <w:bottom w:val="none" w:sz="0" w:space="0" w:color="auto"/>
                <w:right w:val="none" w:sz="0" w:space="0" w:color="auto"/>
              </w:divBdr>
              <w:divsChild>
                <w:div w:id="133282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39F324-1A94-0E4F-9EDB-4A1D6A960953}">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20</Pages>
  <Words>4894</Words>
  <Characters>27898</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Cruickshank</dc:creator>
  <cp:keywords/>
  <dc:description/>
  <cp:lastModifiedBy>Anne Williams</cp:lastModifiedBy>
  <cp:revision>35</cp:revision>
  <dcterms:created xsi:type="dcterms:W3CDTF">2024-07-25T13:29:00Z</dcterms:created>
  <dcterms:modified xsi:type="dcterms:W3CDTF">2024-07-26T08:44:00Z</dcterms:modified>
</cp:coreProperties>
</file>