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82EAA" w14:textId="246258DE" w:rsidR="00866495" w:rsidRDefault="00866495" w:rsidP="00866495">
      <w:pPr>
        <w:ind w:left="142"/>
        <w:rPr>
          <w:b/>
          <w:bCs/>
          <w:sz w:val="28"/>
          <w:szCs w:val="28"/>
        </w:rPr>
      </w:pPr>
      <w:r>
        <w:rPr>
          <w:b/>
          <w:bCs/>
          <w:sz w:val="28"/>
          <w:szCs w:val="28"/>
        </w:rPr>
        <w:t>Council Tax guide 2025/25</w:t>
      </w:r>
    </w:p>
    <w:p w14:paraId="0C1A0010" w14:textId="77777777" w:rsidR="00866495" w:rsidRDefault="00866495" w:rsidP="00866495">
      <w:pPr>
        <w:ind w:left="142"/>
        <w:rPr>
          <w:b/>
          <w:bCs/>
          <w:sz w:val="28"/>
          <w:szCs w:val="28"/>
        </w:rPr>
      </w:pPr>
    </w:p>
    <w:p w14:paraId="139798BA" w14:textId="2BB2F97D" w:rsidR="00866495" w:rsidRPr="006D556C" w:rsidRDefault="00866495" w:rsidP="00866495">
      <w:pPr>
        <w:ind w:left="142"/>
        <w:rPr>
          <w:b/>
          <w:bCs/>
          <w:sz w:val="28"/>
          <w:szCs w:val="28"/>
        </w:rPr>
      </w:pPr>
      <w:r w:rsidRPr="006D556C">
        <w:rPr>
          <w:b/>
          <w:bCs/>
          <w:sz w:val="28"/>
          <w:szCs w:val="28"/>
        </w:rPr>
        <w:t>How much will I pay:</w:t>
      </w:r>
    </w:p>
    <w:p w14:paraId="39CAE32C" w14:textId="77777777" w:rsidR="00866495" w:rsidRDefault="00866495" w:rsidP="00866495">
      <w:pPr>
        <w:ind w:left="142"/>
      </w:pPr>
    </w:p>
    <w:tbl>
      <w:tblPr>
        <w:tblW w:w="10209" w:type="dxa"/>
        <w:tblInd w:w="534" w:type="dxa"/>
        <w:tblLook w:val="04A0" w:firstRow="1" w:lastRow="0" w:firstColumn="1" w:lastColumn="0" w:noHBand="0" w:noVBand="1"/>
      </w:tblPr>
      <w:tblGrid>
        <w:gridCol w:w="1114"/>
        <w:gridCol w:w="2288"/>
        <w:gridCol w:w="1137"/>
        <w:gridCol w:w="1154"/>
        <w:gridCol w:w="1276"/>
        <w:gridCol w:w="966"/>
        <w:gridCol w:w="1137"/>
        <w:gridCol w:w="1137"/>
      </w:tblGrid>
      <w:tr w:rsidR="00866495" w:rsidRPr="00415358" w14:paraId="76397484" w14:textId="77777777" w:rsidTr="0070500D">
        <w:trPr>
          <w:trHeight w:val="270"/>
        </w:trPr>
        <w:tc>
          <w:tcPr>
            <w:tcW w:w="1114" w:type="dxa"/>
            <w:tcBorders>
              <w:top w:val="single" w:sz="8" w:space="0" w:color="auto"/>
              <w:left w:val="single" w:sz="8" w:space="0" w:color="auto"/>
              <w:bottom w:val="single" w:sz="8" w:space="0" w:color="auto"/>
              <w:right w:val="single" w:sz="8" w:space="0" w:color="auto"/>
            </w:tcBorders>
            <w:noWrap/>
            <w:vAlign w:val="center"/>
            <w:hideMark/>
          </w:tcPr>
          <w:p w14:paraId="3779F364" w14:textId="77777777" w:rsidR="00866495" w:rsidRPr="00415358" w:rsidRDefault="00866495" w:rsidP="0070500D">
            <w:pPr>
              <w:ind w:left="142"/>
              <w:rPr>
                <w:rFonts w:cs="Arial"/>
                <w:color w:val="000000"/>
                <w:sz w:val="20"/>
                <w:szCs w:val="20"/>
              </w:rPr>
            </w:pPr>
            <w:r w:rsidRPr="00415358">
              <w:rPr>
                <w:rFonts w:cs="Arial"/>
                <w:color w:val="000000"/>
                <w:sz w:val="20"/>
                <w:szCs w:val="20"/>
              </w:rPr>
              <w:t>Property</w:t>
            </w:r>
          </w:p>
        </w:tc>
        <w:tc>
          <w:tcPr>
            <w:tcW w:w="2288" w:type="dxa"/>
            <w:tcBorders>
              <w:top w:val="single" w:sz="8" w:space="0" w:color="auto"/>
              <w:left w:val="nil"/>
              <w:bottom w:val="single" w:sz="8" w:space="0" w:color="auto"/>
              <w:right w:val="single" w:sz="8" w:space="0" w:color="auto"/>
            </w:tcBorders>
            <w:noWrap/>
            <w:vAlign w:val="center"/>
            <w:hideMark/>
          </w:tcPr>
          <w:p w14:paraId="5C7B0616" w14:textId="77777777" w:rsidR="00866495" w:rsidRPr="00415358" w:rsidRDefault="00866495" w:rsidP="0070500D">
            <w:pPr>
              <w:ind w:left="142"/>
              <w:rPr>
                <w:rFonts w:cs="Arial"/>
                <w:color w:val="000000"/>
                <w:sz w:val="20"/>
                <w:szCs w:val="20"/>
              </w:rPr>
            </w:pPr>
            <w:r w:rsidRPr="00415358">
              <w:rPr>
                <w:rFonts w:cs="Arial"/>
                <w:color w:val="000000"/>
                <w:sz w:val="20"/>
                <w:szCs w:val="20"/>
              </w:rPr>
              <w:t>Property Value 01/04/91</w:t>
            </w:r>
          </w:p>
        </w:tc>
        <w:tc>
          <w:tcPr>
            <w:tcW w:w="3567" w:type="dxa"/>
            <w:gridSpan w:val="3"/>
            <w:tcBorders>
              <w:top w:val="single" w:sz="8" w:space="0" w:color="auto"/>
              <w:left w:val="nil"/>
              <w:bottom w:val="single" w:sz="8" w:space="0" w:color="auto"/>
              <w:right w:val="single" w:sz="4" w:space="0" w:color="auto"/>
            </w:tcBorders>
            <w:noWrap/>
            <w:vAlign w:val="center"/>
            <w:hideMark/>
          </w:tcPr>
          <w:p w14:paraId="76A5741F" w14:textId="77777777" w:rsidR="00866495" w:rsidRPr="00F55391" w:rsidRDefault="00866495" w:rsidP="0070500D">
            <w:pPr>
              <w:ind w:left="142"/>
              <w:jc w:val="center"/>
              <w:rPr>
                <w:rFonts w:cs="Arial"/>
                <w:color w:val="00B050"/>
                <w:sz w:val="20"/>
                <w:szCs w:val="20"/>
              </w:rPr>
            </w:pPr>
            <w:r w:rsidRPr="00F55391">
              <w:rPr>
                <w:rFonts w:cs="Arial"/>
                <w:color w:val="00B050"/>
                <w:sz w:val="20"/>
                <w:szCs w:val="20"/>
              </w:rPr>
              <w:t>Bromley/Adult Social Care precept</w:t>
            </w:r>
          </w:p>
        </w:tc>
        <w:tc>
          <w:tcPr>
            <w:tcW w:w="966" w:type="dxa"/>
            <w:tcBorders>
              <w:top w:val="single" w:sz="8" w:space="0" w:color="auto"/>
              <w:left w:val="nil"/>
              <w:bottom w:val="single" w:sz="8" w:space="0" w:color="auto"/>
              <w:right w:val="single" w:sz="4" w:space="0" w:color="auto"/>
            </w:tcBorders>
            <w:vAlign w:val="center"/>
          </w:tcPr>
          <w:p w14:paraId="4464CC50" w14:textId="77777777" w:rsidR="00866495" w:rsidRPr="00415358" w:rsidRDefault="00866495" w:rsidP="0070500D">
            <w:pPr>
              <w:ind w:left="142"/>
              <w:jc w:val="center"/>
              <w:rPr>
                <w:rFonts w:cs="Arial"/>
                <w:color w:val="000000"/>
                <w:sz w:val="20"/>
                <w:szCs w:val="20"/>
              </w:rPr>
            </w:pPr>
            <w:r>
              <w:rPr>
                <w:rFonts w:cs="Arial"/>
                <w:color w:val="000000"/>
                <w:sz w:val="20"/>
                <w:szCs w:val="20"/>
              </w:rPr>
              <w:t>GLA</w:t>
            </w:r>
          </w:p>
        </w:tc>
        <w:tc>
          <w:tcPr>
            <w:tcW w:w="1137" w:type="dxa"/>
            <w:tcBorders>
              <w:top w:val="single" w:sz="8" w:space="0" w:color="auto"/>
              <w:left w:val="single" w:sz="4" w:space="0" w:color="auto"/>
              <w:bottom w:val="single" w:sz="8" w:space="0" w:color="auto"/>
              <w:right w:val="single" w:sz="8" w:space="0" w:color="auto"/>
            </w:tcBorders>
            <w:noWrap/>
            <w:vAlign w:val="center"/>
            <w:hideMark/>
          </w:tcPr>
          <w:p w14:paraId="69FEE710" w14:textId="77777777" w:rsidR="00866495" w:rsidRPr="00415358" w:rsidRDefault="00866495" w:rsidP="0070500D">
            <w:pPr>
              <w:ind w:left="142"/>
              <w:jc w:val="right"/>
              <w:rPr>
                <w:rFonts w:cs="Arial"/>
                <w:b/>
                <w:bCs/>
                <w:color w:val="000000"/>
                <w:sz w:val="20"/>
                <w:szCs w:val="20"/>
              </w:rPr>
            </w:pPr>
            <w:r w:rsidRPr="00415358">
              <w:rPr>
                <w:rFonts w:cs="Arial"/>
                <w:b/>
                <w:bCs/>
                <w:color w:val="000000"/>
                <w:sz w:val="20"/>
                <w:szCs w:val="20"/>
              </w:rPr>
              <w:t>Council Tax</w:t>
            </w:r>
          </w:p>
        </w:tc>
        <w:tc>
          <w:tcPr>
            <w:tcW w:w="1137" w:type="dxa"/>
            <w:tcBorders>
              <w:top w:val="single" w:sz="8" w:space="0" w:color="auto"/>
              <w:left w:val="nil"/>
              <w:bottom w:val="single" w:sz="8" w:space="0" w:color="auto"/>
              <w:right w:val="single" w:sz="8" w:space="0" w:color="auto"/>
            </w:tcBorders>
            <w:noWrap/>
            <w:vAlign w:val="center"/>
            <w:hideMark/>
          </w:tcPr>
          <w:p w14:paraId="72F32E05" w14:textId="77777777" w:rsidR="00866495" w:rsidRPr="00415358" w:rsidRDefault="00866495" w:rsidP="0070500D">
            <w:pPr>
              <w:ind w:left="142"/>
              <w:jc w:val="right"/>
              <w:rPr>
                <w:rFonts w:cs="Arial"/>
                <w:color w:val="000000"/>
                <w:sz w:val="20"/>
                <w:szCs w:val="20"/>
              </w:rPr>
            </w:pPr>
            <w:r w:rsidRPr="00415358">
              <w:rPr>
                <w:rFonts w:cs="Arial"/>
                <w:color w:val="000000"/>
                <w:sz w:val="20"/>
                <w:szCs w:val="20"/>
              </w:rPr>
              <w:t>Council Tax</w:t>
            </w:r>
          </w:p>
        </w:tc>
      </w:tr>
      <w:tr w:rsidR="00866495" w:rsidRPr="00415358" w14:paraId="4F778667" w14:textId="77777777" w:rsidTr="0070500D">
        <w:trPr>
          <w:trHeight w:val="270"/>
        </w:trPr>
        <w:tc>
          <w:tcPr>
            <w:tcW w:w="1114" w:type="dxa"/>
            <w:tcBorders>
              <w:top w:val="nil"/>
              <w:left w:val="single" w:sz="8" w:space="0" w:color="auto"/>
              <w:bottom w:val="single" w:sz="8" w:space="0" w:color="auto"/>
              <w:right w:val="single" w:sz="8" w:space="0" w:color="auto"/>
            </w:tcBorders>
            <w:noWrap/>
            <w:vAlign w:val="center"/>
            <w:hideMark/>
          </w:tcPr>
          <w:p w14:paraId="1537F227" w14:textId="77777777" w:rsidR="00866495" w:rsidRPr="00415358" w:rsidRDefault="00866495" w:rsidP="0070500D">
            <w:pPr>
              <w:ind w:left="142"/>
              <w:rPr>
                <w:rFonts w:cs="Arial"/>
                <w:color w:val="000000"/>
                <w:sz w:val="20"/>
                <w:szCs w:val="20"/>
              </w:rPr>
            </w:pPr>
            <w:r w:rsidRPr="00415358">
              <w:rPr>
                <w:rFonts w:cs="Arial"/>
                <w:color w:val="000000"/>
                <w:sz w:val="20"/>
                <w:szCs w:val="20"/>
              </w:rPr>
              <w:t>Band</w:t>
            </w:r>
          </w:p>
        </w:tc>
        <w:tc>
          <w:tcPr>
            <w:tcW w:w="2288" w:type="dxa"/>
            <w:tcBorders>
              <w:top w:val="nil"/>
              <w:left w:val="nil"/>
              <w:bottom w:val="single" w:sz="8" w:space="0" w:color="auto"/>
              <w:right w:val="single" w:sz="8" w:space="0" w:color="auto"/>
            </w:tcBorders>
            <w:noWrap/>
            <w:vAlign w:val="center"/>
            <w:hideMark/>
          </w:tcPr>
          <w:p w14:paraId="1E5181EF" w14:textId="77777777" w:rsidR="00866495" w:rsidRPr="00415358" w:rsidRDefault="00866495" w:rsidP="0070500D">
            <w:pPr>
              <w:ind w:left="142"/>
              <w:rPr>
                <w:rFonts w:cs="Arial"/>
                <w:color w:val="000000"/>
                <w:sz w:val="20"/>
                <w:szCs w:val="20"/>
              </w:rPr>
            </w:pPr>
            <w:r w:rsidRPr="00415358">
              <w:rPr>
                <w:rFonts w:cs="Arial"/>
                <w:color w:val="000000"/>
                <w:sz w:val="20"/>
                <w:szCs w:val="20"/>
              </w:rPr>
              <w:t> </w:t>
            </w:r>
          </w:p>
        </w:tc>
        <w:tc>
          <w:tcPr>
            <w:tcW w:w="1137" w:type="dxa"/>
            <w:tcBorders>
              <w:top w:val="nil"/>
              <w:left w:val="nil"/>
              <w:bottom w:val="single" w:sz="8" w:space="0" w:color="auto"/>
              <w:right w:val="single" w:sz="8" w:space="0" w:color="auto"/>
            </w:tcBorders>
            <w:noWrap/>
            <w:vAlign w:val="center"/>
            <w:hideMark/>
          </w:tcPr>
          <w:p w14:paraId="37F27768" w14:textId="77777777" w:rsidR="00866495" w:rsidRPr="00F55391" w:rsidRDefault="00866495" w:rsidP="0070500D">
            <w:pPr>
              <w:ind w:left="142"/>
              <w:jc w:val="center"/>
              <w:rPr>
                <w:rFonts w:cs="Arial"/>
                <w:color w:val="00B050"/>
                <w:sz w:val="20"/>
                <w:szCs w:val="20"/>
              </w:rPr>
            </w:pPr>
            <w:r w:rsidRPr="00F55391">
              <w:rPr>
                <w:rFonts w:cs="Arial"/>
                <w:color w:val="00B050"/>
                <w:sz w:val="20"/>
                <w:szCs w:val="20"/>
              </w:rPr>
              <w:t>Bromley</w:t>
            </w:r>
          </w:p>
        </w:tc>
        <w:tc>
          <w:tcPr>
            <w:tcW w:w="1154" w:type="dxa"/>
            <w:tcBorders>
              <w:top w:val="single" w:sz="4" w:space="0" w:color="auto"/>
              <w:left w:val="nil"/>
              <w:bottom w:val="single" w:sz="8" w:space="0" w:color="auto"/>
              <w:right w:val="single" w:sz="4" w:space="0" w:color="auto"/>
            </w:tcBorders>
            <w:noWrap/>
            <w:vAlign w:val="center"/>
            <w:hideMark/>
          </w:tcPr>
          <w:p w14:paraId="6BDB927E" w14:textId="77777777" w:rsidR="00866495" w:rsidRPr="00F55391" w:rsidRDefault="00866495" w:rsidP="0070500D">
            <w:pPr>
              <w:jc w:val="center"/>
              <w:rPr>
                <w:rFonts w:cs="Arial"/>
                <w:color w:val="00B050"/>
                <w:sz w:val="20"/>
                <w:szCs w:val="20"/>
              </w:rPr>
            </w:pPr>
            <w:r w:rsidRPr="00F55391">
              <w:rPr>
                <w:rFonts w:cs="Arial"/>
                <w:color w:val="00B050"/>
                <w:sz w:val="20"/>
                <w:szCs w:val="20"/>
              </w:rPr>
              <w:t>ASC</w:t>
            </w:r>
          </w:p>
        </w:tc>
        <w:tc>
          <w:tcPr>
            <w:tcW w:w="1276" w:type="dxa"/>
            <w:tcBorders>
              <w:top w:val="single" w:sz="4" w:space="0" w:color="auto"/>
              <w:left w:val="single" w:sz="4" w:space="0" w:color="auto"/>
              <w:bottom w:val="single" w:sz="8" w:space="0" w:color="auto"/>
              <w:right w:val="single" w:sz="4" w:space="0" w:color="auto"/>
            </w:tcBorders>
            <w:vAlign w:val="center"/>
          </w:tcPr>
          <w:p w14:paraId="618FD113" w14:textId="77777777" w:rsidR="00866495" w:rsidRPr="00F55391" w:rsidRDefault="00866495" w:rsidP="0070500D">
            <w:pPr>
              <w:jc w:val="center"/>
              <w:rPr>
                <w:rFonts w:cs="Arial"/>
                <w:b/>
                <w:color w:val="00B050"/>
                <w:sz w:val="20"/>
                <w:szCs w:val="20"/>
              </w:rPr>
            </w:pPr>
            <w:r w:rsidRPr="00F55391">
              <w:rPr>
                <w:rFonts w:cs="Arial"/>
                <w:b/>
                <w:color w:val="00B050"/>
                <w:sz w:val="20"/>
                <w:szCs w:val="20"/>
              </w:rPr>
              <w:t>Total</w:t>
            </w:r>
          </w:p>
        </w:tc>
        <w:tc>
          <w:tcPr>
            <w:tcW w:w="966" w:type="dxa"/>
            <w:tcBorders>
              <w:top w:val="single" w:sz="4" w:space="0" w:color="auto"/>
              <w:left w:val="single" w:sz="4" w:space="0" w:color="auto"/>
              <w:bottom w:val="single" w:sz="8" w:space="0" w:color="auto"/>
              <w:right w:val="single" w:sz="8" w:space="0" w:color="auto"/>
            </w:tcBorders>
            <w:vAlign w:val="center"/>
          </w:tcPr>
          <w:p w14:paraId="6554B5EB" w14:textId="77777777" w:rsidR="00866495" w:rsidRPr="00415358" w:rsidRDefault="00866495" w:rsidP="0070500D">
            <w:pPr>
              <w:jc w:val="center"/>
              <w:rPr>
                <w:rFonts w:cs="Arial"/>
                <w:color w:val="000000"/>
                <w:sz w:val="20"/>
                <w:szCs w:val="20"/>
              </w:rPr>
            </w:pPr>
          </w:p>
        </w:tc>
        <w:tc>
          <w:tcPr>
            <w:tcW w:w="1137" w:type="dxa"/>
            <w:tcBorders>
              <w:top w:val="nil"/>
              <w:left w:val="nil"/>
              <w:bottom w:val="single" w:sz="8" w:space="0" w:color="auto"/>
              <w:right w:val="single" w:sz="8" w:space="0" w:color="auto"/>
            </w:tcBorders>
            <w:noWrap/>
            <w:vAlign w:val="center"/>
          </w:tcPr>
          <w:p w14:paraId="7DD3E769" w14:textId="77777777" w:rsidR="00866495" w:rsidRPr="00415358" w:rsidRDefault="00866495" w:rsidP="0070500D">
            <w:pPr>
              <w:ind w:left="142"/>
              <w:jc w:val="right"/>
              <w:rPr>
                <w:rFonts w:cs="Arial"/>
                <w:b/>
                <w:bCs/>
                <w:color w:val="000000"/>
                <w:sz w:val="20"/>
                <w:szCs w:val="20"/>
              </w:rPr>
            </w:pPr>
            <w:r>
              <w:rPr>
                <w:rFonts w:cs="Arial"/>
                <w:b/>
                <w:bCs/>
                <w:color w:val="000000"/>
                <w:sz w:val="20"/>
                <w:szCs w:val="20"/>
              </w:rPr>
              <w:t>2025/26</w:t>
            </w:r>
          </w:p>
        </w:tc>
        <w:tc>
          <w:tcPr>
            <w:tcW w:w="1137" w:type="dxa"/>
            <w:tcBorders>
              <w:top w:val="nil"/>
              <w:left w:val="nil"/>
              <w:bottom w:val="single" w:sz="8" w:space="0" w:color="auto"/>
              <w:right w:val="single" w:sz="8" w:space="0" w:color="auto"/>
            </w:tcBorders>
            <w:noWrap/>
            <w:vAlign w:val="center"/>
          </w:tcPr>
          <w:p w14:paraId="4561AEB1" w14:textId="77777777" w:rsidR="00866495" w:rsidRPr="004661B4" w:rsidRDefault="00866495" w:rsidP="0070500D">
            <w:pPr>
              <w:ind w:left="142"/>
              <w:jc w:val="right"/>
              <w:rPr>
                <w:rFonts w:cs="Arial"/>
                <w:color w:val="000000"/>
                <w:sz w:val="20"/>
                <w:szCs w:val="20"/>
              </w:rPr>
            </w:pPr>
            <w:r w:rsidRPr="004661B4">
              <w:rPr>
                <w:rFonts w:cs="Arial"/>
                <w:color w:val="000000"/>
                <w:sz w:val="20"/>
                <w:szCs w:val="20"/>
              </w:rPr>
              <w:t>2024/25</w:t>
            </w:r>
          </w:p>
        </w:tc>
      </w:tr>
      <w:tr w:rsidR="00866495" w:rsidRPr="00415358" w14:paraId="24E6486B" w14:textId="77777777" w:rsidTr="0070500D">
        <w:trPr>
          <w:trHeight w:val="270"/>
        </w:trPr>
        <w:tc>
          <w:tcPr>
            <w:tcW w:w="1114" w:type="dxa"/>
            <w:tcBorders>
              <w:top w:val="nil"/>
              <w:left w:val="single" w:sz="8" w:space="0" w:color="auto"/>
              <w:bottom w:val="single" w:sz="8" w:space="0" w:color="auto"/>
              <w:right w:val="single" w:sz="8" w:space="0" w:color="auto"/>
            </w:tcBorders>
            <w:noWrap/>
            <w:vAlign w:val="center"/>
            <w:hideMark/>
          </w:tcPr>
          <w:p w14:paraId="376C0FE9" w14:textId="77777777" w:rsidR="00866495" w:rsidRPr="00415358" w:rsidRDefault="00866495" w:rsidP="0070500D">
            <w:pPr>
              <w:ind w:left="142"/>
              <w:rPr>
                <w:rFonts w:cs="Arial"/>
                <w:color w:val="000000"/>
                <w:sz w:val="20"/>
                <w:szCs w:val="20"/>
              </w:rPr>
            </w:pPr>
            <w:r w:rsidRPr="00415358">
              <w:rPr>
                <w:rFonts w:cs="Arial"/>
                <w:color w:val="000000"/>
                <w:sz w:val="20"/>
                <w:szCs w:val="20"/>
              </w:rPr>
              <w:t> </w:t>
            </w:r>
          </w:p>
        </w:tc>
        <w:tc>
          <w:tcPr>
            <w:tcW w:w="2288" w:type="dxa"/>
            <w:tcBorders>
              <w:top w:val="nil"/>
              <w:left w:val="nil"/>
              <w:bottom w:val="single" w:sz="8" w:space="0" w:color="auto"/>
              <w:right w:val="single" w:sz="8" w:space="0" w:color="auto"/>
            </w:tcBorders>
            <w:noWrap/>
            <w:vAlign w:val="center"/>
            <w:hideMark/>
          </w:tcPr>
          <w:p w14:paraId="47AB261A" w14:textId="77777777" w:rsidR="00866495" w:rsidRPr="00415358" w:rsidRDefault="00866495" w:rsidP="0070500D">
            <w:pPr>
              <w:ind w:left="142"/>
              <w:rPr>
                <w:rFonts w:cs="Arial"/>
                <w:color w:val="000000"/>
                <w:sz w:val="20"/>
                <w:szCs w:val="20"/>
              </w:rPr>
            </w:pPr>
            <w:r w:rsidRPr="00415358">
              <w:rPr>
                <w:rFonts w:cs="Arial"/>
                <w:color w:val="000000"/>
                <w:sz w:val="20"/>
                <w:szCs w:val="20"/>
              </w:rPr>
              <w:t> </w:t>
            </w:r>
          </w:p>
        </w:tc>
        <w:tc>
          <w:tcPr>
            <w:tcW w:w="1137" w:type="dxa"/>
            <w:tcBorders>
              <w:top w:val="nil"/>
              <w:left w:val="nil"/>
              <w:bottom w:val="single" w:sz="8" w:space="0" w:color="auto"/>
              <w:right w:val="single" w:sz="8" w:space="0" w:color="auto"/>
            </w:tcBorders>
            <w:noWrap/>
            <w:vAlign w:val="center"/>
            <w:hideMark/>
          </w:tcPr>
          <w:p w14:paraId="0BE17FBA" w14:textId="77777777" w:rsidR="00866495" w:rsidRPr="00F55391" w:rsidRDefault="00866495" w:rsidP="0070500D">
            <w:pPr>
              <w:ind w:left="142"/>
              <w:jc w:val="right"/>
              <w:rPr>
                <w:rFonts w:cs="Arial"/>
                <w:color w:val="00B050"/>
                <w:sz w:val="20"/>
                <w:szCs w:val="20"/>
              </w:rPr>
            </w:pPr>
            <w:r w:rsidRPr="00F55391">
              <w:rPr>
                <w:rFonts w:cs="Arial"/>
                <w:color w:val="00B050"/>
                <w:sz w:val="20"/>
                <w:szCs w:val="20"/>
              </w:rPr>
              <w:t>£. p</w:t>
            </w:r>
          </w:p>
        </w:tc>
        <w:tc>
          <w:tcPr>
            <w:tcW w:w="1154" w:type="dxa"/>
            <w:tcBorders>
              <w:top w:val="nil"/>
              <w:left w:val="nil"/>
              <w:bottom w:val="single" w:sz="8" w:space="0" w:color="auto"/>
              <w:right w:val="single" w:sz="4" w:space="0" w:color="auto"/>
            </w:tcBorders>
            <w:noWrap/>
            <w:vAlign w:val="center"/>
            <w:hideMark/>
          </w:tcPr>
          <w:p w14:paraId="64EDB299" w14:textId="77777777" w:rsidR="00866495" w:rsidRPr="00F55391" w:rsidRDefault="00866495" w:rsidP="0070500D">
            <w:pPr>
              <w:jc w:val="right"/>
              <w:rPr>
                <w:rFonts w:cs="Arial"/>
                <w:color w:val="00B050"/>
                <w:sz w:val="20"/>
                <w:szCs w:val="20"/>
              </w:rPr>
            </w:pPr>
            <w:r w:rsidRPr="00F55391">
              <w:rPr>
                <w:rFonts w:cs="Arial"/>
                <w:color w:val="00B050"/>
                <w:sz w:val="20"/>
                <w:szCs w:val="20"/>
              </w:rPr>
              <w:t>£. p</w:t>
            </w:r>
          </w:p>
        </w:tc>
        <w:tc>
          <w:tcPr>
            <w:tcW w:w="1276" w:type="dxa"/>
            <w:tcBorders>
              <w:top w:val="nil"/>
              <w:left w:val="single" w:sz="4" w:space="0" w:color="auto"/>
              <w:bottom w:val="single" w:sz="8" w:space="0" w:color="auto"/>
              <w:right w:val="single" w:sz="4" w:space="0" w:color="auto"/>
            </w:tcBorders>
            <w:vAlign w:val="center"/>
          </w:tcPr>
          <w:p w14:paraId="0DE981FC" w14:textId="77777777" w:rsidR="00866495" w:rsidRPr="00F55391" w:rsidRDefault="00866495" w:rsidP="0070500D">
            <w:pPr>
              <w:jc w:val="right"/>
              <w:rPr>
                <w:rFonts w:cs="Arial"/>
                <w:b/>
                <w:color w:val="00B050"/>
                <w:sz w:val="20"/>
                <w:szCs w:val="20"/>
              </w:rPr>
            </w:pPr>
            <w:r w:rsidRPr="00F55391">
              <w:rPr>
                <w:rFonts w:cs="Arial"/>
                <w:b/>
                <w:color w:val="00B050"/>
                <w:sz w:val="20"/>
                <w:szCs w:val="20"/>
              </w:rPr>
              <w:t>£. p</w:t>
            </w:r>
          </w:p>
        </w:tc>
        <w:tc>
          <w:tcPr>
            <w:tcW w:w="966" w:type="dxa"/>
            <w:tcBorders>
              <w:top w:val="nil"/>
              <w:left w:val="single" w:sz="4" w:space="0" w:color="auto"/>
              <w:bottom w:val="single" w:sz="8" w:space="0" w:color="auto"/>
              <w:right w:val="single" w:sz="8" w:space="0" w:color="auto"/>
            </w:tcBorders>
            <w:vAlign w:val="center"/>
          </w:tcPr>
          <w:p w14:paraId="522C5153" w14:textId="77777777" w:rsidR="00866495" w:rsidRPr="00415358" w:rsidRDefault="00866495" w:rsidP="0070500D">
            <w:pPr>
              <w:jc w:val="right"/>
              <w:rPr>
                <w:rFonts w:cs="Arial"/>
                <w:color w:val="000000"/>
                <w:sz w:val="20"/>
                <w:szCs w:val="20"/>
              </w:rPr>
            </w:pPr>
            <w:r w:rsidRPr="00415358">
              <w:rPr>
                <w:rFonts w:cs="Arial"/>
                <w:color w:val="000000"/>
                <w:sz w:val="20"/>
                <w:szCs w:val="20"/>
              </w:rPr>
              <w:t>£. p</w:t>
            </w:r>
          </w:p>
        </w:tc>
        <w:tc>
          <w:tcPr>
            <w:tcW w:w="1137" w:type="dxa"/>
            <w:tcBorders>
              <w:top w:val="nil"/>
              <w:left w:val="nil"/>
              <w:bottom w:val="single" w:sz="8" w:space="0" w:color="auto"/>
              <w:right w:val="single" w:sz="8" w:space="0" w:color="auto"/>
            </w:tcBorders>
            <w:noWrap/>
            <w:vAlign w:val="center"/>
          </w:tcPr>
          <w:p w14:paraId="0938C083" w14:textId="77777777" w:rsidR="00866495" w:rsidRPr="00F05893" w:rsidRDefault="00866495" w:rsidP="0070500D">
            <w:pPr>
              <w:ind w:left="142"/>
              <w:jc w:val="right"/>
              <w:rPr>
                <w:rFonts w:cs="Arial"/>
                <w:b/>
                <w:bCs/>
                <w:color w:val="000000"/>
                <w:sz w:val="20"/>
                <w:szCs w:val="20"/>
              </w:rPr>
            </w:pPr>
            <w:r w:rsidRPr="00F05893">
              <w:rPr>
                <w:rFonts w:cs="Arial"/>
                <w:b/>
                <w:bCs/>
                <w:color w:val="000000"/>
                <w:sz w:val="20"/>
                <w:szCs w:val="20"/>
              </w:rPr>
              <w:t>£. p</w:t>
            </w:r>
          </w:p>
        </w:tc>
        <w:tc>
          <w:tcPr>
            <w:tcW w:w="1137" w:type="dxa"/>
            <w:tcBorders>
              <w:top w:val="nil"/>
              <w:left w:val="nil"/>
              <w:bottom w:val="single" w:sz="8" w:space="0" w:color="auto"/>
              <w:right w:val="single" w:sz="8" w:space="0" w:color="auto"/>
            </w:tcBorders>
            <w:noWrap/>
            <w:vAlign w:val="center"/>
          </w:tcPr>
          <w:p w14:paraId="613E0F85" w14:textId="77777777" w:rsidR="00866495" w:rsidRPr="004661B4" w:rsidRDefault="00866495" w:rsidP="0070500D">
            <w:pPr>
              <w:ind w:left="142"/>
              <w:jc w:val="right"/>
              <w:rPr>
                <w:rFonts w:cs="Arial"/>
                <w:color w:val="000000"/>
                <w:sz w:val="20"/>
                <w:szCs w:val="20"/>
              </w:rPr>
            </w:pPr>
            <w:r w:rsidRPr="004661B4">
              <w:rPr>
                <w:rFonts w:cs="Arial"/>
                <w:color w:val="000000"/>
                <w:sz w:val="20"/>
                <w:szCs w:val="20"/>
              </w:rPr>
              <w:t>£. p</w:t>
            </w:r>
          </w:p>
        </w:tc>
      </w:tr>
      <w:tr w:rsidR="00866495" w:rsidRPr="00EE1ED5" w14:paraId="49C55A01" w14:textId="77777777" w:rsidTr="0070500D">
        <w:trPr>
          <w:trHeight w:val="270"/>
        </w:trPr>
        <w:tc>
          <w:tcPr>
            <w:tcW w:w="1114" w:type="dxa"/>
            <w:tcBorders>
              <w:top w:val="nil"/>
              <w:left w:val="single" w:sz="8" w:space="0" w:color="auto"/>
              <w:bottom w:val="single" w:sz="8" w:space="0" w:color="auto"/>
              <w:right w:val="single" w:sz="8" w:space="0" w:color="auto"/>
            </w:tcBorders>
            <w:noWrap/>
            <w:vAlign w:val="center"/>
            <w:hideMark/>
          </w:tcPr>
          <w:p w14:paraId="31750850" w14:textId="77777777" w:rsidR="00866495" w:rsidRPr="00415358" w:rsidRDefault="00866495" w:rsidP="0070500D">
            <w:pPr>
              <w:ind w:left="142"/>
              <w:rPr>
                <w:rFonts w:cs="Arial"/>
                <w:color w:val="000000"/>
                <w:sz w:val="20"/>
                <w:szCs w:val="20"/>
              </w:rPr>
            </w:pPr>
            <w:r w:rsidRPr="00415358">
              <w:rPr>
                <w:rFonts w:cs="Arial"/>
                <w:color w:val="000000"/>
                <w:sz w:val="20"/>
                <w:szCs w:val="20"/>
              </w:rPr>
              <w:t>A</w:t>
            </w:r>
          </w:p>
        </w:tc>
        <w:tc>
          <w:tcPr>
            <w:tcW w:w="2288" w:type="dxa"/>
            <w:tcBorders>
              <w:top w:val="nil"/>
              <w:left w:val="nil"/>
              <w:bottom w:val="single" w:sz="8" w:space="0" w:color="auto"/>
              <w:right w:val="single" w:sz="8" w:space="0" w:color="auto"/>
            </w:tcBorders>
            <w:noWrap/>
            <w:vAlign w:val="center"/>
            <w:hideMark/>
          </w:tcPr>
          <w:p w14:paraId="71CCBDED" w14:textId="77777777" w:rsidR="00866495" w:rsidRPr="00415358" w:rsidRDefault="00866495" w:rsidP="0070500D">
            <w:pPr>
              <w:ind w:left="142"/>
              <w:rPr>
                <w:rFonts w:cs="Arial"/>
                <w:color w:val="000000"/>
                <w:sz w:val="20"/>
                <w:szCs w:val="20"/>
              </w:rPr>
            </w:pPr>
            <w:r w:rsidRPr="00415358">
              <w:rPr>
                <w:rFonts w:cs="Arial"/>
                <w:color w:val="000000"/>
                <w:sz w:val="20"/>
                <w:szCs w:val="20"/>
              </w:rPr>
              <w:t>up to £40,000</w:t>
            </w:r>
          </w:p>
        </w:tc>
        <w:tc>
          <w:tcPr>
            <w:tcW w:w="1137" w:type="dxa"/>
            <w:tcBorders>
              <w:top w:val="nil"/>
              <w:left w:val="nil"/>
              <w:bottom w:val="single" w:sz="8" w:space="0" w:color="auto"/>
              <w:right w:val="single" w:sz="8" w:space="0" w:color="auto"/>
            </w:tcBorders>
            <w:noWrap/>
            <w:vAlign w:val="bottom"/>
          </w:tcPr>
          <w:p w14:paraId="569F1745" w14:textId="77777777" w:rsidR="00866495" w:rsidRPr="008202A0" w:rsidRDefault="00866495" w:rsidP="0070500D">
            <w:pPr>
              <w:jc w:val="right"/>
              <w:rPr>
                <w:rFonts w:cs="Arial"/>
                <w:color w:val="00B050"/>
                <w:sz w:val="20"/>
                <w:szCs w:val="20"/>
              </w:rPr>
            </w:pPr>
            <w:r>
              <w:rPr>
                <w:rFonts w:cs="Arial"/>
                <w:color w:val="00B050"/>
                <w:sz w:val="20"/>
                <w:szCs w:val="20"/>
              </w:rPr>
              <w:t>869.70</w:t>
            </w:r>
          </w:p>
        </w:tc>
        <w:tc>
          <w:tcPr>
            <w:tcW w:w="1154" w:type="dxa"/>
            <w:tcBorders>
              <w:top w:val="nil"/>
              <w:left w:val="nil"/>
              <w:bottom w:val="single" w:sz="8" w:space="0" w:color="auto"/>
              <w:right w:val="single" w:sz="4" w:space="0" w:color="auto"/>
            </w:tcBorders>
            <w:noWrap/>
            <w:vAlign w:val="bottom"/>
          </w:tcPr>
          <w:p w14:paraId="304C9ABE" w14:textId="77777777" w:rsidR="00866495" w:rsidRPr="008202A0" w:rsidRDefault="00866495" w:rsidP="0070500D">
            <w:pPr>
              <w:jc w:val="right"/>
              <w:rPr>
                <w:rFonts w:cs="Arial"/>
                <w:color w:val="00B050"/>
                <w:sz w:val="20"/>
                <w:szCs w:val="20"/>
              </w:rPr>
            </w:pPr>
            <w:r>
              <w:rPr>
                <w:rFonts w:cs="Arial"/>
                <w:color w:val="00B050"/>
                <w:sz w:val="20"/>
                <w:szCs w:val="20"/>
              </w:rPr>
              <w:t>165.02</w:t>
            </w:r>
          </w:p>
        </w:tc>
        <w:tc>
          <w:tcPr>
            <w:tcW w:w="1276" w:type="dxa"/>
            <w:tcBorders>
              <w:top w:val="nil"/>
              <w:left w:val="single" w:sz="4" w:space="0" w:color="auto"/>
              <w:bottom w:val="single" w:sz="8" w:space="0" w:color="auto"/>
              <w:right w:val="single" w:sz="4" w:space="0" w:color="auto"/>
            </w:tcBorders>
            <w:vAlign w:val="center"/>
          </w:tcPr>
          <w:p w14:paraId="05D93B5A" w14:textId="77777777" w:rsidR="00866495" w:rsidRPr="00D17853" w:rsidRDefault="00866495" w:rsidP="0070500D">
            <w:pPr>
              <w:jc w:val="right"/>
              <w:rPr>
                <w:rFonts w:cs="Arial"/>
                <w:b/>
                <w:color w:val="00B050"/>
                <w:sz w:val="20"/>
                <w:szCs w:val="20"/>
              </w:rPr>
            </w:pPr>
            <w:r>
              <w:rPr>
                <w:rFonts w:cs="Arial"/>
                <w:b/>
                <w:color w:val="00B050"/>
                <w:sz w:val="20"/>
                <w:szCs w:val="20"/>
              </w:rPr>
              <w:t>1,034.72</w:t>
            </w:r>
          </w:p>
        </w:tc>
        <w:tc>
          <w:tcPr>
            <w:tcW w:w="966" w:type="dxa"/>
            <w:tcBorders>
              <w:top w:val="nil"/>
              <w:left w:val="single" w:sz="4" w:space="0" w:color="auto"/>
              <w:bottom w:val="single" w:sz="8" w:space="0" w:color="auto"/>
              <w:right w:val="single" w:sz="8" w:space="0" w:color="auto"/>
            </w:tcBorders>
            <w:vAlign w:val="center"/>
          </w:tcPr>
          <w:p w14:paraId="79C69461" w14:textId="77777777" w:rsidR="00866495" w:rsidRDefault="00866495" w:rsidP="0070500D">
            <w:pPr>
              <w:jc w:val="right"/>
              <w:rPr>
                <w:rFonts w:cs="Arial"/>
                <w:color w:val="000000"/>
                <w:sz w:val="20"/>
                <w:szCs w:val="20"/>
              </w:rPr>
            </w:pPr>
            <w:r>
              <w:rPr>
                <w:rFonts w:cs="Arial"/>
                <w:color w:val="000000"/>
                <w:sz w:val="20"/>
                <w:szCs w:val="20"/>
              </w:rPr>
              <w:t>326.92</w:t>
            </w:r>
          </w:p>
        </w:tc>
        <w:tc>
          <w:tcPr>
            <w:tcW w:w="1137" w:type="dxa"/>
            <w:tcBorders>
              <w:top w:val="nil"/>
              <w:left w:val="nil"/>
              <w:bottom w:val="single" w:sz="8" w:space="0" w:color="auto"/>
              <w:right w:val="single" w:sz="8" w:space="0" w:color="auto"/>
            </w:tcBorders>
            <w:noWrap/>
            <w:vAlign w:val="center"/>
          </w:tcPr>
          <w:p w14:paraId="52373F47" w14:textId="77777777" w:rsidR="00866495" w:rsidRDefault="00866495" w:rsidP="0070500D">
            <w:pPr>
              <w:jc w:val="right"/>
              <w:rPr>
                <w:rFonts w:cs="Arial"/>
                <w:b/>
                <w:bCs/>
                <w:color w:val="000000"/>
                <w:sz w:val="20"/>
                <w:szCs w:val="20"/>
              </w:rPr>
            </w:pPr>
            <w:r>
              <w:rPr>
                <w:rFonts w:cs="Arial"/>
                <w:b/>
                <w:bCs/>
                <w:color w:val="000000"/>
                <w:sz w:val="20"/>
                <w:szCs w:val="20"/>
              </w:rPr>
              <w:t>1,361.64</w:t>
            </w:r>
          </w:p>
        </w:tc>
        <w:tc>
          <w:tcPr>
            <w:tcW w:w="1137" w:type="dxa"/>
            <w:tcBorders>
              <w:top w:val="nil"/>
              <w:left w:val="nil"/>
              <w:bottom w:val="single" w:sz="8" w:space="0" w:color="auto"/>
              <w:right w:val="single" w:sz="8" w:space="0" w:color="auto"/>
            </w:tcBorders>
            <w:noWrap/>
            <w:vAlign w:val="center"/>
          </w:tcPr>
          <w:p w14:paraId="2C837251" w14:textId="77777777" w:rsidR="00866495" w:rsidRPr="004661B4" w:rsidRDefault="00866495" w:rsidP="0070500D">
            <w:pPr>
              <w:ind w:left="142"/>
              <w:jc w:val="right"/>
              <w:rPr>
                <w:rFonts w:cs="Arial"/>
                <w:color w:val="000000"/>
                <w:sz w:val="20"/>
                <w:szCs w:val="20"/>
              </w:rPr>
            </w:pPr>
            <w:r w:rsidRPr="004661B4">
              <w:rPr>
                <w:rFonts w:cs="Arial"/>
                <w:color w:val="000000"/>
                <w:sz w:val="20"/>
                <w:szCs w:val="20"/>
              </w:rPr>
              <w:t>1,299.81</w:t>
            </w:r>
          </w:p>
        </w:tc>
      </w:tr>
      <w:tr w:rsidR="00866495" w:rsidRPr="00EE1ED5" w14:paraId="24C5CC46" w14:textId="77777777" w:rsidTr="0070500D">
        <w:trPr>
          <w:trHeight w:val="270"/>
        </w:trPr>
        <w:tc>
          <w:tcPr>
            <w:tcW w:w="1114" w:type="dxa"/>
            <w:tcBorders>
              <w:top w:val="nil"/>
              <w:left w:val="single" w:sz="8" w:space="0" w:color="auto"/>
              <w:bottom w:val="single" w:sz="8" w:space="0" w:color="auto"/>
              <w:right w:val="single" w:sz="8" w:space="0" w:color="auto"/>
            </w:tcBorders>
            <w:noWrap/>
            <w:vAlign w:val="center"/>
            <w:hideMark/>
          </w:tcPr>
          <w:p w14:paraId="331AA444" w14:textId="77777777" w:rsidR="00866495" w:rsidRPr="00415358" w:rsidRDefault="00866495" w:rsidP="0070500D">
            <w:pPr>
              <w:ind w:left="142"/>
              <w:rPr>
                <w:rFonts w:cs="Arial"/>
                <w:color w:val="000000"/>
                <w:sz w:val="20"/>
                <w:szCs w:val="20"/>
              </w:rPr>
            </w:pPr>
            <w:r w:rsidRPr="00415358">
              <w:rPr>
                <w:rFonts w:cs="Arial"/>
                <w:color w:val="000000"/>
                <w:sz w:val="20"/>
                <w:szCs w:val="20"/>
              </w:rPr>
              <w:t xml:space="preserve">B </w:t>
            </w:r>
          </w:p>
        </w:tc>
        <w:tc>
          <w:tcPr>
            <w:tcW w:w="2288" w:type="dxa"/>
            <w:tcBorders>
              <w:top w:val="nil"/>
              <w:left w:val="nil"/>
              <w:bottom w:val="single" w:sz="8" w:space="0" w:color="auto"/>
              <w:right w:val="single" w:sz="8" w:space="0" w:color="auto"/>
            </w:tcBorders>
            <w:noWrap/>
            <w:vAlign w:val="center"/>
            <w:hideMark/>
          </w:tcPr>
          <w:p w14:paraId="201C9E9F" w14:textId="77777777" w:rsidR="00866495" w:rsidRPr="00415358" w:rsidRDefault="00866495" w:rsidP="0070500D">
            <w:pPr>
              <w:ind w:left="142"/>
              <w:rPr>
                <w:rFonts w:cs="Arial"/>
                <w:color w:val="000000"/>
                <w:sz w:val="20"/>
                <w:szCs w:val="20"/>
              </w:rPr>
            </w:pPr>
            <w:r w:rsidRPr="00415358">
              <w:rPr>
                <w:rFonts w:cs="Arial"/>
                <w:color w:val="000000"/>
                <w:sz w:val="20"/>
                <w:szCs w:val="20"/>
              </w:rPr>
              <w:t>£40,001 to £52,000</w:t>
            </w:r>
          </w:p>
        </w:tc>
        <w:tc>
          <w:tcPr>
            <w:tcW w:w="1137" w:type="dxa"/>
            <w:tcBorders>
              <w:top w:val="nil"/>
              <w:left w:val="nil"/>
              <w:bottom w:val="single" w:sz="8" w:space="0" w:color="auto"/>
              <w:right w:val="single" w:sz="8" w:space="0" w:color="auto"/>
            </w:tcBorders>
            <w:noWrap/>
            <w:vAlign w:val="bottom"/>
          </w:tcPr>
          <w:p w14:paraId="04FDEC0B" w14:textId="77777777" w:rsidR="00866495" w:rsidRPr="008202A0" w:rsidRDefault="00866495" w:rsidP="0070500D">
            <w:pPr>
              <w:jc w:val="right"/>
              <w:rPr>
                <w:rFonts w:cs="Arial"/>
                <w:color w:val="00B050"/>
                <w:sz w:val="20"/>
                <w:szCs w:val="20"/>
              </w:rPr>
            </w:pPr>
            <w:r>
              <w:rPr>
                <w:rFonts w:cs="Arial"/>
                <w:color w:val="00B050"/>
                <w:sz w:val="20"/>
                <w:szCs w:val="20"/>
              </w:rPr>
              <w:t>1,014.65</w:t>
            </w:r>
          </w:p>
        </w:tc>
        <w:tc>
          <w:tcPr>
            <w:tcW w:w="1154" w:type="dxa"/>
            <w:tcBorders>
              <w:top w:val="nil"/>
              <w:left w:val="nil"/>
              <w:bottom w:val="single" w:sz="8" w:space="0" w:color="auto"/>
              <w:right w:val="single" w:sz="4" w:space="0" w:color="auto"/>
            </w:tcBorders>
            <w:noWrap/>
            <w:vAlign w:val="bottom"/>
          </w:tcPr>
          <w:p w14:paraId="1C5510E7" w14:textId="77777777" w:rsidR="00866495" w:rsidRPr="008202A0" w:rsidRDefault="00866495" w:rsidP="0070500D">
            <w:pPr>
              <w:jc w:val="right"/>
              <w:rPr>
                <w:rFonts w:cs="Arial"/>
                <w:color w:val="00B050"/>
                <w:sz w:val="20"/>
                <w:szCs w:val="20"/>
              </w:rPr>
            </w:pPr>
            <w:r>
              <w:rPr>
                <w:rFonts w:cs="Arial"/>
                <w:color w:val="00B050"/>
                <w:sz w:val="20"/>
                <w:szCs w:val="20"/>
              </w:rPr>
              <w:t>192.52</w:t>
            </w:r>
          </w:p>
        </w:tc>
        <w:tc>
          <w:tcPr>
            <w:tcW w:w="1276" w:type="dxa"/>
            <w:tcBorders>
              <w:top w:val="nil"/>
              <w:left w:val="single" w:sz="4" w:space="0" w:color="auto"/>
              <w:bottom w:val="single" w:sz="8" w:space="0" w:color="auto"/>
              <w:right w:val="single" w:sz="4" w:space="0" w:color="auto"/>
            </w:tcBorders>
            <w:vAlign w:val="center"/>
          </w:tcPr>
          <w:p w14:paraId="06763C86" w14:textId="77777777" w:rsidR="00866495" w:rsidRPr="00D17853" w:rsidRDefault="00866495" w:rsidP="0070500D">
            <w:pPr>
              <w:jc w:val="right"/>
              <w:rPr>
                <w:rFonts w:cs="Arial"/>
                <w:b/>
                <w:color w:val="00B050"/>
                <w:sz w:val="20"/>
                <w:szCs w:val="20"/>
              </w:rPr>
            </w:pPr>
            <w:r>
              <w:rPr>
                <w:rFonts w:cs="Arial"/>
                <w:b/>
                <w:color w:val="00B050"/>
                <w:sz w:val="20"/>
                <w:szCs w:val="20"/>
              </w:rPr>
              <w:t>1,207.17</w:t>
            </w:r>
          </w:p>
        </w:tc>
        <w:tc>
          <w:tcPr>
            <w:tcW w:w="966" w:type="dxa"/>
            <w:tcBorders>
              <w:top w:val="nil"/>
              <w:left w:val="single" w:sz="4" w:space="0" w:color="auto"/>
              <w:bottom w:val="single" w:sz="8" w:space="0" w:color="auto"/>
              <w:right w:val="single" w:sz="8" w:space="0" w:color="auto"/>
            </w:tcBorders>
            <w:vAlign w:val="center"/>
          </w:tcPr>
          <w:p w14:paraId="00FC828D" w14:textId="77777777" w:rsidR="00866495" w:rsidRDefault="00866495" w:rsidP="0070500D">
            <w:pPr>
              <w:jc w:val="right"/>
              <w:rPr>
                <w:rFonts w:cs="Arial"/>
                <w:color w:val="000000"/>
                <w:sz w:val="20"/>
                <w:szCs w:val="20"/>
              </w:rPr>
            </w:pPr>
            <w:r>
              <w:rPr>
                <w:rFonts w:cs="Arial"/>
                <w:color w:val="000000"/>
                <w:sz w:val="20"/>
                <w:szCs w:val="20"/>
              </w:rPr>
              <w:t>381.41</w:t>
            </w:r>
          </w:p>
        </w:tc>
        <w:tc>
          <w:tcPr>
            <w:tcW w:w="1137" w:type="dxa"/>
            <w:tcBorders>
              <w:top w:val="nil"/>
              <w:left w:val="nil"/>
              <w:bottom w:val="single" w:sz="8" w:space="0" w:color="auto"/>
              <w:right w:val="single" w:sz="8" w:space="0" w:color="auto"/>
            </w:tcBorders>
            <w:noWrap/>
            <w:vAlign w:val="center"/>
          </w:tcPr>
          <w:p w14:paraId="72291298" w14:textId="77777777" w:rsidR="00866495" w:rsidRDefault="00866495" w:rsidP="0070500D">
            <w:pPr>
              <w:jc w:val="right"/>
              <w:rPr>
                <w:rFonts w:cs="Arial"/>
                <w:b/>
                <w:bCs/>
                <w:color w:val="000000"/>
                <w:sz w:val="20"/>
                <w:szCs w:val="20"/>
              </w:rPr>
            </w:pPr>
            <w:r>
              <w:rPr>
                <w:rFonts w:cs="Arial"/>
                <w:b/>
                <w:bCs/>
                <w:color w:val="000000"/>
                <w:sz w:val="20"/>
                <w:szCs w:val="20"/>
              </w:rPr>
              <w:t>1,588.58</w:t>
            </w:r>
          </w:p>
        </w:tc>
        <w:tc>
          <w:tcPr>
            <w:tcW w:w="1137" w:type="dxa"/>
            <w:tcBorders>
              <w:top w:val="nil"/>
              <w:left w:val="nil"/>
              <w:bottom w:val="single" w:sz="8" w:space="0" w:color="auto"/>
              <w:right w:val="single" w:sz="8" w:space="0" w:color="auto"/>
            </w:tcBorders>
            <w:noWrap/>
            <w:vAlign w:val="center"/>
          </w:tcPr>
          <w:p w14:paraId="2CBB33FA" w14:textId="77777777" w:rsidR="00866495" w:rsidRPr="004661B4" w:rsidRDefault="00866495" w:rsidP="0070500D">
            <w:pPr>
              <w:ind w:left="142"/>
              <w:jc w:val="right"/>
              <w:rPr>
                <w:rFonts w:cs="Arial"/>
                <w:color w:val="000000"/>
                <w:sz w:val="20"/>
                <w:szCs w:val="20"/>
              </w:rPr>
            </w:pPr>
            <w:r w:rsidRPr="004661B4">
              <w:rPr>
                <w:rFonts w:cs="Arial"/>
                <w:color w:val="000000"/>
                <w:sz w:val="20"/>
                <w:szCs w:val="20"/>
              </w:rPr>
              <w:t>1,516.44</w:t>
            </w:r>
          </w:p>
        </w:tc>
      </w:tr>
      <w:tr w:rsidR="00866495" w:rsidRPr="00EE1ED5" w14:paraId="7ADF3256" w14:textId="77777777" w:rsidTr="0070500D">
        <w:trPr>
          <w:trHeight w:val="270"/>
        </w:trPr>
        <w:tc>
          <w:tcPr>
            <w:tcW w:w="1114" w:type="dxa"/>
            <w:tcBorders>
              <w:top w:val="nil"/>
              <w:left w:val="single" w:sz="8" w:space="0" w:color="auto"/>
              <w:bottom w:val="single" w:sz="8" w:space="0" w:color="auto"/>
              <w:right w:val="single" w:sz="8" w:space="0" w:color="auto"/>
            </w:tcBorders>
            <w:noWrap/>
            <w:vAlign w:val="center"/>
            <w:hideMark/>
          </w:tcPr>
          <w:p w14:paraId="533A53B9" w14:textId="77777777" w:rsidR="00866495" w:rsidRPr="00415358" w:rsidRDefault="00866495" w:rsidP="0070500D">
            <w:pPr>
              <w:ind w:left="142"/>
              <w:rPr>
                <w:rFonts w:cs="Arial"/>
                <w:color w:val="000000"/>
                <w:sz w:val="20"/>
                <w:szCs w:val="20"/>
              </w:rPr>
            </w:pPr>
            <w:r w:rsidRPr="00415358">
              <w:rPr>
                <w:rFonts w:cs="Arial"/>
                <w:color w:val="000000"/>
                <w:sz w:val="20"/>
                <w:szCs w:val="20"/>
              </w:rPr>
              <w:t>C</w:t>
            </w:r>
          </w:p>
        </w:tc>
        <w:tc>
          <w:tcPr>
            <w:tcW w:w="2288" w:type="dxa"/>
            <w:tcBorders>
              <w:top w:val="nil"/>
              <w:left w:val="nil"/>
              <w:bottom w:val="single" w:sz="8" w:space="0" w:color="auto"/>
              <w:right w:val="single" w:sz="8" w:space="0" w:color="auto"/>
            </w:tcBorders>
            <w:noWrap/>
            <w:vAlign w:val="center"/>
            <w:hideMark/>
          </w:tcPr>
          <w:p w14:paraId="7FAAC62E" w14:textId="77777777" w:rsidR="00866495" w:rsidRPr="00415358" w:rsidRDefault="00866495" w:rsidP="0070500D">
            <w:pPr>
              <w:ind w:left="142"/>
              <w:rPr>
                <w:rFonts w:cs="Arial"/>
                <w:color w:val="000000"/>
                <w:sz w:val="20"/>
                <w:szCs w:val="20"/>
              </w:rPr>
            </w:pPr>
            <w:r w:rsidRPr="00415358">
              <w:rPr>
                <w:rFonts w:cs="Arial"/>
                <w:color w:val="000000"/>
                <w:sz w:val="20"/>
                <w:szCs w:val="20"/>
              </w:rPr>
              <w:t>£52,001 to £68,000</w:t>
            </w:r>
          </w:p>
        </w:tc>
        <w:tc>
          <w:tcPr>
            <w:tcW w:w="1137" w:type="dxa"/>
            <w:tcBorders>
              <w:top w:val="nil"/>
              <w:left w:val="nil"/>
              <w:bottom w:val="single" w:sz="8" w:space="0" w:color="auto"/>
              <w:right w:val="single" w:sz="8" w:space="0" w:color="auto"/>
            </w:tcBorders>
            <w:noWrap/>
            <w:vAlign w:val="bottom"/>
          </w:tcPr>
          <w:p w14:paraId="5581DB14" w14:textId="77777777" w:rsidR="00866495" w:rsidRPr="008202A0" w:rsidRDefault="00866495" w:rsidP="0070500D">
            <w:pPr>
              <w:jc w:val="right"/>
              <w:rPr>
                <w:rFonts w:cs="Arial"/>
                <w:color w:val="00B050"/>
                <w:sz w:val="20"/>
                <w:szCs w:val="20"/>
              </w:rPr>
            </w:pPr>
            <w:r>
              <w:rPr>
                <w:rFonts w:cs="Arial"/>
                <w:color w:val="00B050"/>
                <w:sz w:val="20"/>
                <w:szCs w:val="20"/>
              </w:rPr>
              <w:t>1,159.60</w:t>
            </w:r>
          </w:p>
        </w:tc>
        <w:tc>
          <w:tcPr>
            <w:tcW w:w="1154" w:type="dxa"/>
            <w:tcBorders>
              <w:top w:val="nil"/>
              <w:left w:val="nil"/>
              <w:bottom w:val="single" w:sz="8" w:space="0" w:color="auto"/>
              <w:right w:val="single" w:sz="4" w:space="0" w:color="auto"/>
            </w:tcBorders>
            <w:noWrap/>
            <w:vAlign w:val="bottom"/>
          </w:tcPr>
          <w:p w14:paraId="71BE7E95" w14:textId="77777777" w:rsidR="00866495" w:rsidRPr="008202A0" w:rsidRDefault="00866495" w:rsidP="0070500D">
            <w:pPr>
              <w:jc w:val="right"/>
              <w:rPr>
                <w:rFonts w:cs="Arial"/>
                <w:color w:val="00B050"/>
                <w:sz w:val="20"/>
                <w:szCs w:val="20"/>
              </w:rPr>
            </w:pPr>
            <w:r>
              <w:rPr>
                <w:rFonts w:cs="Arial"/>
                <w:color w:val="00B050"/>
                <w:sz w:val="20"/>
                <w:szCs w:val="20"/>
              </w:rPr>
              <w:t>220.03</w:t>
            </w:r>
          </w:p>
        </w:tc>
        <w:tc>
          <w:tcPr>
            <w:tcW w:w="1276" w:type="dxa"/>
            <w:tcBorders>
              <w:top w:val="nil"/>
              <w:left w:val="single" w:sz="4" w:space="0" w:color="auto"/>
              <w:bottom w:val="single" w:sz="8" w:space="0" w:color="auto"/>
              <w:right w:val="single" w:sz="4" w:space="0" w:color="auto"/>
            </w:tcBorders>
            <w:vAlign w:val="center"/>
          </w:tcPr>
          <w:p w14:paraId="340AFEAF" w14:textId="77777777" w:rsidR="00866495" w:rsidRPr="00D17853" w:rsidRDefault="00866495" w:rsidP="0070500D">
            <w:pPr>
              <w:jc w:val="right"/>
              <w:rPr>
                <w:rFonts w:cs="Arial"/>
                <w:b/>
                <w:color w:val="00B050"/>
                <w:sz w:val="20"/>
                <w:szCs w:val="20"/>
              </w:rPr>
            </w:pPr>
            <w:r>
              <w:rPr>
                <w:rFonts w:cs="Arial"/>
                <w:b/>
                <w:color w:val="00B050"/>
                <w:sz w:val="20"/>
                <w:szCs w:val="20"/>
              </w:rPr>
              <w:t>1,379.63</w:t>
            </w:r>
          </w:p>
        </w:tc>
        <w:tc>
          <w:tcPr>
            <w:tcW w:w="966" w:type="dxa"/>
            <w:tcBorders>
              <w:top w:val="nil"/>
              <w:left w:val="single" w:sz="4" w:space="0" w:color="auto"/>
              <w:bottom w:val="single" w:sz="8" w:space="0" w:color="auto"/>
              <w:right w:val="single" w:sz="8" w:space="0" w:color="auto"/>
            </w:tcBorders>
            <w:vAlign w:val="center"/>
          </w:tcPr>
          <w:p w14:paraId="24D9506D" w14:textId="77777777" w:rsidR="00866495" w:rsidRDefault="00866495" w:rsidP="0070500D">
            <w:pPr>
              <w:jc w:val="right"/>
              <w:rPr>
                <w:rFonts w:cs="Arial"/>
                <w:color w:val="000000"/>
                <w:sz w:val="20"/>
                <w:szCs w:val="20"/>
              </w:rPr>
            </w:pPr>
            <w:r>
              <w:rPr>
                <w:rFonts w:cs="Arial"/>
                <w:color w:val="000000"/>
                <w:sz w:val="20"/>
                <w:szCs w:val="20"/>
              </w:rPr>
              <w:t>435.89</w:t>
            </w:r>
          </w:p>
        </w:tc>
        <w:tc>
          <w:tcPr>
            <w:tcW w:w="1137" w:type="dxa"/>
            <w:tcBorders>
              <w:top w:val="nil"/>
              <w:left w:val="nil"/>
              <w:bottom w:val="single" w:sz="8" w:space="0" w:color="auto"/>
              <w:right w:val="single" w:sz="8" w:space="0" w:color="auto"/>
            </w:tcBorders>
            <w:noWrap/>
            <w:vAlign w:val="center"/>
          </w:tcPr>
          <w:p w14:paraId="3FEF18B3" w14:textId="77777777" w:rsidR="00866495" w:rsidRDefault="00866495" w:rsidP="0070500D">
            <w:pPr>
              <w:jc w:val="right"/>
              <w:rPr>
                <w:rFonts w:cs="Arial"/>
                <w:b/>
                <w:bCs/>
                <w:color w:val="000000"/>
                <w:sz w:val="20"/>
                <w:szCs w:val="20"/>
              </w:rPr>
            </w:pPr>
            <w:r>
              <w:rPr>
                <w:rFonts w:cs="Arial"/>
                <w:b/>
                <w:bCs/>
                <w:color w:val="000000"/>
                <w:sz w:val="20"/>
                <w:szCs w:val="20"/>
              </w:rPr>
              <w:t>1,815.52</w:t>
            </w:r>
          </w:p>
        </w:tc>
        <w:tc>
          <w:tcPr>
            <w:tcW w:w="1137" w:type="dxa"/>
            <w:tcBorders>
              <w:top w:val="nil"/>
              <w:left w:val="nil"/>
              <w:bottom w:val="single" w:sz="8" w:space="0" w:color="auto"/>
              <w:right w:val="single" w:sz="8" w:space="0" w:color="auto"/>
            </w:tcBorders>
            <w:noWrap/>
            <w:vAlign w:val="center"/>
          </w:tcPr>
          <w:p w14:paraId="52936038" w14:textId="77777777" w:rsidR="00866495" w:rsidRPr="004661B4" w:rsidRDefault="00866495" w:rsidP="0070500D">
            <w:pPr>
              <w:ind w:left="142"/>
              <w:jc w:val="right"/>
              <w:rPr>
                <w:rFonts w:cs="Arial"/>
                <w:color w:val="000000"/>
                <w:sz w:val="20"/>
                <w:szCs w:val="20"/>
              </w:rPr>
            </w:pPr>
            <w:r w:rsidRPr="004661B4">
              <w:rPr>
                <w:rFonts w:cs="Arial"/>
                <w:color w:val="000000"/>
                <w:sz w:val="20"/>
                <w:szCs w:val="20"/>
              </w:rPr>
              <w:t>1,733.07</w:t>
            </w:r>
          </w:p>
        </w:tc>
      </w:tr>
      <w:tr w:rsidR="00866495" w:rsidRPr="00EE1ED5" w14:paraId="09BBDA9B" w14:textId="77777777" w:rsidTr="0070500D">
        <w:trPr>
          <w:trHeight w:val="270"/>
        </w:trPr>
        <w:tc>
          <w:tcPr>
            <w:tcW w:w="1114" w:type="dxa"/>
            <w:tcBorders>
              <w:top w:val="nil"/>
              <w:left w:val="single" w:sz="8" w:space="0" w:color="auto"/>
              <w:bottom w:val="single" w:sz="8" w:space="0" w:color="auto"/>
              <w:right w:val="single" w:sz="8" w:space="0" w:color="auto"/>
            </w:tcBorders>
            <w:noWrap/>
            <w:vAlign w:val="center"/>
            <w:hideMark/>
          </w:tcPr>
          <w:p w14:paraId="5F9AFFF5" w14:textId="77777777" w:rsidR="00866495" w:rsidRPr="00415358" w:rsidRDefault="00866495" w:rsidP="0070500D">
            <w:pPr>
              <w:ind w:left="142"/>
              <w:rPr>
                <w:rFonts w:cs="Arial"/>
                <w:color w:val="000000"/>
                <w:sz w:val="20"/>
                <w:szCs w:val="20"/>
              </w:rPr>
            </w:pPr>
            <w:r w:rsidRPr="00415358">
              <w:rPr>
                <w:rFonts w:cs="Arial"/>
                <w:color w:val="000000"/>
                <w:sz w:val="20"/>
                <w:szCs w:val="20"/>
              </w:rPr>
              <w:t>D</w:t>
            </w:r>
          </w:p>
        </w:tc>
        <w:tc>
          <w:tcPr>
            <w:tcW w:w="2288" w:type="dxa"/>
            <w:tcBorders>
              <w:top w:val="nil"/>
              <w:left w:val="nil"/>
              <w:bottom w:val="single" w:sz="8" w:space="0" w:color="auto"/>
              <w:right w:val="single" w:sz="8" w:space="0" w:color="auto"/>
            </w:tcBorders>
            <w:noWrap/>
            <w:vAlign w:val="center"/>
            <w:hideMark/>
          </w:tcPr>
          <w:p w14:paraId="585A3770" w14:textId="77777777" w:rsidR="00866495" w:rsidRPr="00415358" w:rsidRDefault="00866495" w:rsidP="0070500D">
            <w:pPr>
              <w:ind w:left="142"/>
              <w:rPr>
                <w:rFonts w:cs="Arial"/>
                <w:color w:val="000000"/>
                <w:sz w:val="20"/>
                <w:szCs w:val="20"/>
              </w:rPr>
            </w:pPr>
            <w:r w:rsidRPr="00415358">
              <w:rPr>
                <w:rFonts w:cs="Arial"/>
                <w:color w:val="000000"/>
                <w:sz w:val="20"/>
                <w:szCs w:val="20"/>
              </w:rPr>
              <w:t>£68,001 to £88,000</w:t>
            </w:r>
          </w:p>
        </w:tc>
        <w:tc>
          <w:tcPr>
            <w:tcW w:w="1137" w:type="dxa"/>
            <w:tcBorders>
              <w:top w:val="nil"/>
              <w:left w:val="nil"/>
              <w:bottom w:val="single" w:sz="8" w:space="0" w:color="auto"/>
              <w:right w:val="single" w:sz="8" w:space="0" w:color="auto"/>
            </w:tcBorders>
            <w:noWrap/>
            <w:vAlign w:val="bottom"/>
          </w:tcPr>
          <w:p w14:paraId="180DB0F0" w14:textId="77777777" w:rsidR="00866495" w:rsidRPr="008202A0" w:rsidRDefault="00866495" w:rsidP="0070500D">
            <w:pPr>
              <w:jc w:val="right"/>
              <w:rPr>
                <w:rFonts w:cs="Arial"/>
                <w:color w:val="00B050"/>
                <w:sz w:val="20"/>
                <w:szCs w:val="20"/>
              </w:rPr>
            </w:pPr>
            <w:r>
              <w:rPr>
                <w:rFonts w:cs="Arial"/>
                <w:color w:val="00B050"/>
                <w:sz w:val="20"/>
                <w:szCs w:val="20"/>
              </w:rPr>
              <w:t>1,304.55</w:t>
            </w:r>
          </w:p>
        </w:tc>
        <w:tc>
          <w:tcPr>
            <w:tcW w:w="1154" w:type="dxa"/>
            <w:tcBorders>
              <w:top w:val="nil"/>
              <w:left w:val="nil"/>
              <w:bottom w:val="single" w:sz="8" w:space="0" w:color="auto"/>
              <w:right w:val="single" w:sz="4" w:space="0" w:color="auto"/>
            </w:tcBorders>
            <w:noWrap/>
            <w:vAlign w:val="bottom"/>
          </w:tcPr>
          <w:p w14:paraId="60499438" w14:textId="77777777" w:rsidR="00866495" w:rsidRPr="008202A0" w:rsidRDefault="00866495" w:rsidP="0070500D">
            <w:pPr>
              <w:jc w:val="right"/>
              <w:rPr>
                <w:rFonts w:cs="Arial"/>
                <w:color w:val="00B050"/>
                <w:sz w:val="20"/>
                <w:szCs w:val="20"/>
              </w:rPr>
            </w:pPr>
            <w:r>
              <w:rPr>
                <w:rFonts w:cs="Arial"/>
                <w:color w:val="00B050"/>
                <w:sz w:val="20"/>
                <w:szCs w:val="20"/>
              </w:rPr>
              <w:t>247.53</w:t>
            </w:r>
          </w:p>
        </w:tc>
        <w:tc>
          <w:tcPr>
            <w:tcW w:w="1276" w:type="dxa"/>
            <w:tcBorders>
              <w:top w:val="nil"/>
              <w:left w:val="single" w:sz="4" w:space="0" w:color="auto"/>
              <w:bottom w:val="single" w:sz="8" w:space="0" w:color="auto"/>
              <w:right w:val="single" w:sz="4" w:space="0" w:color="auto"/>
            </w:tcBorders>
            <w:vAlign w:val="center"/>
          </w:tcPr>
          <w:p w14:paraId="01C8088E" w14:textId="77777777" w:rsidR="00866495" w:rsidRPr="00D17853" w:rsidRDefault="00866495" w:rsidP="0070500D">
            <w:pPr>
              <w:jc w:val="right"/>
              <w:rPr>
                <w:rFonts w:cs="Arial"/>
                <w:b/>
                <w:color w:val="00B050"/>
                <w:sz w:val="20"/>
                <w:szCs w:val="20"/>
              </w:rPr>
            </w:pPr>
            <w:r>
              <w:rPr>
                <w:rFonts w:cs="Arial"/>
                <w:b/>
                <w:color w:val="00B050"/>
                <w:sz w:val="20"/>
                <w:szCs w:val="20"/>
              </w:rPr>
              <w:t>1,552.08</w:t>
            </w:r>
          </w:p>
        </w:tc>
        <w:tc>
          <w:tcPr>
            <w:tcW w:w="966" w:type="dxa"/>
            <w:tcBorders>
              <w:top w:val="nil"/>
              <w:left w:val="single" w:sz="4" w:space="0" w:color="auto"/>
              <w:bottom w:val="single" w:sz="8" w:space="0" w:color="auto"/>
              <w:right w:val="single" w:sz="8" w:space="0" w:color="auto"/>
            </w:tcBorders>
            <w:vAlign w:val="center"/>
          </w:tcPr>
          <w:p w14:paraId="71FCEBC0" w14:textId="77777777" w:rsidR="00866495" w:rsidRDefault="00866495" w:rsidP="0070500D">
            <w:pPr>
              <w:jc w:val="right"/>
              <w:rPr>
                <w:rFonts w:cs="Arial"/>
                <w:color w:val="000000"/>
                <w:sz w:val="20"/>
                <w:szCs w:val="20"/>
              </w:rPr>
            </w:pPr>
            <w:r>
              <w:rPr>
                <w:rFonts w:cs="Arial"/>
                <w:color w:val="000000"/>
                <w:sz w:val="20"/>
                <w:szCs w:val="20"/>
              </w:rPr>
              <w:t>490.38</w:t>
            </w:r>
          </w:p>
        </w:tc>
        <w:tc>
          <w:tcPr>
            <w:tcW w:w="1137" w:type="dxa"/>
            <w:tcBorders>
              <w:top w:val="nil"/>
              <w:left w:val="nil"/>
              <w:bottom w:val="single" w:sz="8" w:space="0" w:color="auto"/>
              <w:right w:val="single" w:sz="8" w:space="0" w:color="auto"/>
            </w:tcBorders>
            <w:noWrap/>
            <w:vAlign w:val="center"/>
          </w:tcPr>
          <w:p w14:paraId="0EED1F7D" w14:textId="77777777" w:rsidR="00866495" w:rsidRDefault="00866495" w:rsidP="0070500D">
            <w:pPr>
              <w:jc w:val="right"/>
              <w:rPr>
                <w:rFonts w:cs="Arial"/>
                <w:b/>
                <w:bCs/>
                <w:color w:val="000000"/>
                <w:sz w:val="20"/>
                <w:szCs w:val="20"/>
              </w:rPr>
            </w:pPr>
            <w:r>
              <w:rPr>
                <w:rFonts w:cs="Arial"/>
                <w:b/>
                <w:bCs/>
                <w:color w:val="000000"/>
                <w:sz w:val="20"/>
                <w:szCs w:val="20"/>
              </w:rPr>
              <w:t>2,042.46</w:t>
            </w:r>
          </w:p>
        </w:tc>
        <w:tc>
          <w:tcPr>
            <w:tcW w:w="1137" w:type="dxa"/>
            <w:tcBorders>
              <w:top w:val="nil"/>
              <w:left w:val="nil"/>
              <w:bottom w:val="single" w:sz="8" w:space="0" w:color="auto"/>
              <w:right w:val="single" w:sz="8" w:space="0" w:color="auto"/>
            </w:tcBorders>
            <w:noWrap/>
            <w:vAlign w:val="center"/>
          </w:tcPr>
          <w:p w14:paraId="39DDB6D5" w14:textId="77777777" w:rsidR="00866495" w:rsidRPr="004661B4" w:rsidRDefault="00866495" w:rsidP="0070500D">
            <w:pPr>
              <w:ind w:left="142"/>
              <w:jc w:val="right"/>
              <w:rPr>
                <w:rFonts w:cs="Arial"/>
                <w:color w:val="000000"/>
                <w:sz w:val="20"/>
                <w:szCs w:val="20"/>
              </w:rPr>
            </w:pPr>
            <w:r w:rsidRPr="004661B4">
              <w:rPr>
                <w:rFonts w:cs="Arial"/>
                <w:color w:val="000000"/>
                <w:sz w:val="20"/>
                <w:szCs w:val="20"/>
              </w:rPr>
              <w:t>1,949.71</w:t>
            </w:r>
          </w:p>
        </w:tc>
      </w:tr>
      <w:tr w:rsidR="00866495" w:rsidRPr="00EE1ED5" w14:paraId="79036696" w14:textId="77777777" w:rsidTr="0070500D">
        <w:trPr>
          <w:trHeight w:val="270"/>
        </w:trPr>
        <w:tc>
          <w:tcPr>
            <w:tcW w:w="1114" w:type="dxa"/>
            <w:tcBorders>
              <w:top w:val="nil"/>
              <w:left w:val="single" w:sz="8" w:space="0" w:color="auto"/>
              <w:bottom w:val="single" w:sz="8" w:space="0" w:color="auto"/>
              <w:right w:val="single" w:sz="8" w:space="0" w:color="auto"/>
            </w:tcBorders>
            <w:noWrap/>
            <w:vAlign w:val="center"/>
            <w:hideMark/>
          </w:tcPr>
          <w:p w14:paraId="06BE1BE4" w14:textId="77777777" w:rsidR="00866495" w:rsidRPr="00415358" w:rsidRDefault="00866495" w:rsidP="0070500D">
            <w:pPr>
              <w:ind w:left="142"/>
              <w:rPr>
                <w:rFonts w:cs="Arial"/>
                <w:color w:val="000000"/>
                <w:sz w:val="20"/>
                <w:szCs w:val="20"/>
              </w:rPr>
            </w:pPr>
            <w:r w:rsidRPr="00415358">
              <w:rPr>
                <w:rFonts w:cs="Arial"/>
                <w:color w:val="000000"/>
                <w:sz w:val="20"/>
                <w:szCs w:val="20"/>
              </w:rPr>
              <w:t xml:space="preserve">E </w:t>
            </w:r>
          </w:p>
        </w:tc>
        <w:tc>
          <w:tcPr>
            <w:tcW w:w="2288" w:type="dxa"/>
            <w:tcBorders>
              <w:top w:val="nil"/>
              <w:left w:val="nil"/>
              <w:bottom w:val="single" w:sz="8" w:space="0" w:color="auto"/>
              <w:right w:val="single" w:sz="8" w:space="0" w:color="auto"/>
            </w:tcBorders>
            <w:noWrap/>
            <w:vAlign w:val="center"/>
            <w:hideMark/>
          </w:tcPr>
          <w:p w14:paraId="4640BA6B" w14:textId="77777777" w:rsidR="00866495" w:rsidRPr="00415358" w:rsidRDefault="00866495" w:rsidP="0070500D">
            <w:pPr>
              <w:ind w:left="142"/>
              <w:rPr>
                <w:rFonts w:cs="Arial"/>
                <w:color w:val="000000"/>
                <w:sz w:val="20"/>
                <w:szCs w:val="20"/>
              </w:rPr>
            </w:pPr>
            <w:r w:rsidRPr="00415358">
              <w:rPr>
                <w:rFonts w:cs="Arial"/>
                <w:color w:val="000000"/>
                <w:sz w:val="20"/>
                <w:szCs w:val="20"/>
              </w:rPr>
              <w:t>£88,001 to £120,000</w:t>
            </w:r>
          </w:p>
        </w:tc>
        <w:tc>
          <w:tcPr>
            <w:tcW w:w="1137" w:type="dxa"/>
            <w:tcBorders>
              <w:top w:val="nil"/>
              <w:left w:val="nil"/>
              <w:bottom w:val="single" w:sz="8" w:space="0" w:color="auto"/>
              <w:right w:val="single" w:sz="8" w:space="0" w:color="auto"/>
            </w:tcBorders>
            <w:noWrap/>
            <w:vAlign w:val="bottom"/>
          </w:tcPr>
          <w:p w14:paraId="3C3C6460" w14:textId="77777777" w:rsidR="00866495" w:rsidRPr="009A39F9" w:rsidRDefault="00866495" w:rsidP="0070500D">
            <w:pPr>
              <w:jc w:val="right"/>
              <w:rPr>
                <w:rFonts w:cs="Arial"/>
                <w:color w:val="00B050"/>
                <w:sz w:val="20"/>
                <w:szCs w:val="20"/>
              </w:rPr>
            </w:pPr>
            <w:r w:rsidRPr="009A39F9">
              <w:rPr>
                <w:rFonts w:cs="Arial"/>
                <w:color w:val="00B050"/>
                <w:sz w:val="20"/>
                <w:szCs w:val="20"/>
              </w:rPr>
              <w:t>1,594.45</w:t>
            </w:r>
          </w:p>
        </w:tc>
        <w:tc>
          <w:tcPr>
            <w:tcW w:w="1154" w:type="dxa"/>
            <w:tcBorders>
              <w:top w:val="nil"/>
              <w:left w:val="nil"/>
              <w:bottom w:val="single" w:sz="8" w:space="0" w:color="auto"/>
              <w:right w:val="single" w:sz="4" w:space="0" w:color="auto"/>
            </w:tcBorders>
            <w:noWrap/>
            <w:vAlign w:val="bottom"/>
          </w:tcPr>
          <w:p w14:paraId="73E397FB" w14:textId="77777777" w:rsidR="00866495" w:rsidRPr="008202A0" w:rsidRDefault="00866495" w:rsidP="0070500D">
            <w:pPr>
              <w:jc w:val="right"/>
              <w:rPr>
                <w:rFonts w:cs="Arial"/>
                <w:color w:val="00B050"/>
                <w:sz w:val="20"/>
                <w:szCs w:val="20"/>
              </w:rPr>
            </w:pPr>
            <w:r>
              <w:rPr>
                <w:rFonts w:cs="Arial"/>
                <w:color w:val="00B050"/>
                <w:sz w:val="20"/>
                <w:szCs w:val="20"/>
              </w:rPr>
              <w:t>302.54</w:t>
            </w:r>
          </w:p>
        </w:tc>
        <w:tc>
          <w:tcPr>
            <w:tcW w:w="1276" w:type="dxa"/>
            <w:tcBorders>
              <w:top w:val="nil"/>
              <w:left w:val="single" w:sz="4" w:space="0" w:color="auto"/>
              <w:bottom w:val="single" w:sz="8" w:space="0" w:color="auto"/>
              <w:right w:val="single" w:sz="4" w:space="0" w:color="auto"/>
            </w:tcBorders>
            <w:vAlign w:val="center"/>
          </w:tcPr>
          <w:p w14:paraId="7D4A619B" w14:textId="77777777" w:rsidR="00866495" w:rsidRPr="00D17853" w:rsidRDefault="00866495" w:rsidP="0070500D">
            <w:pPr>
              <w:jc w:val="right"/>
              <w:rPr>
                <w:rFonts w:cs="Arial"/>
                <w:b/>
                <w:color w:val="00B050"/>
                <w:sz w:val="20"/>
                <w:szCs w:val="20"/>
              </w:rPr>
            </w:pPr>
            <w:r>
              <w:rPr>
                <w:rFonts w:cs="Arial"/>
                <w:b/>
                <w:color w:val="00B050"/>
                <w:sz w:val="20"/>
                <w:szCs w:val="20"/>
              </w:rPr>
              <w:t>1,896.99</w:t>
            </w:r>
          </w:p>
        </w:tc>
        <w:tc>
          <w:tcPr>
            <w:tcW w:w="966" w:type="dxa"/>
            <w:tcBorders>
              <w:top w:val="nil"/>
              <w:left w:val="single" w:sz="4" w:space="0" w:color="auto"/>
              <w:bottom w:val="single" w:sz="8" w:space="0" w:color="auto"/>
              <w:right w:val="single" w:sz="8" w:space="0" w:color="auto"/>
            </w:tcBorders>
            <w:vAlign w:val="center"/>
          </w:tcPr>
          <w:p w14:paraId="298F6707" w14:textId="77777777" w:rsidR="00866495" w:rsidRDefault="00866495" w:rsidP="0070500D">
            <w:pPr>
              <w:jc w:val="right"/>
              <w:rPr>
                <w:rFonts w:cs="Arial"/>
                <w:color w:val="000000"/>
                <w:sz w:val="20"/>
                <w:szCs w:val="20"/>
              </w:rPr>
            </w:pPr>
            <w:r>
              <w:rPr>
                <w:rFonts w:cs="Arial"/>
                <w:color w:val="000000"/>
                <w:sz w:val="20"/>
                <w:szCs w:val="20"/>
              </w:rPr>
              <w:t>599.35</w:t>
            </w:r>
          </w:p>
        </w:tc>
        <w:tc>
          <w:tcPr>
            <w:tcW w:w="1137" w:type="dxa"/>
            <w:tcBorders>
              <w:top w:val="nil"/>
              <w:left w:val="nil"/>
              <w:bottom w:val="single" w:sz="8" w:space="0" w:color="auto"/>
              <w:right w:val="single" w:sz="8" w:space="0" w:color="auto"/>
            </w:tcBorders>
            <w:noWrap/>
            <w:vAlign w:val="center"/>
          </w:tcPr>
          <w:p w14:paraId="7D704AC9" w14:textId="77777777" w:rsidR="00866495" w:rsidRDefault="00866495" w:rsidP="0070500D">
            <w:pPr>
              <w:jc w:val="right"/>
              <w:rPr>
                <w:rFonts w:cs="Arial"/>
                <w:b/>
                <w:bCs/>
                <w:color w:val="000000"/>
                <w:sz w:val="20"/>
                <w:szCs w:val="20"/>
              </w:rPr>
            </w:pPr>
            <w:r>
              <w:rPr>
                <w:rFonts w:cs="Arial"/>
                <w:b/>
                <w:bCs/>
                <w:color w:val="000000"/>
                <w:sz w:val="20"/>
                <w:szCs w:val="20"/>
              </w:rPr>
              <w:t>2,496.34</w:t>
            </w:r>
          </w:p>
        </w:tc>
        <w:tc>
          <w:tcPr>
            <w:tcW w:w="1137" w:type="dxa"/>
            <w:tcBorders>
              <w:top w:val="nil"/>
              <w:left w:val="nil"/>
              <w:bottom w:val="single" w:sz="8" w:space="0" w:color="auto"/>
              <w:right w:val="single" w:sz="8" w:space="0" w:color="auto"/>
            </w:tcBorders>
            <w:noWrap/>
            <w:vAlign w:val="center"/>
          </w:tcPr>
          <w:p w14:paraId="57F1F9A7" w14:textId="77777777" w:rsidR="00866495" w:rsidRPr="004661B4" w:rsidRDefault="00866495" w:rsidP="0070500D">
            <w:pPr>
              <w:ind w:left="142"/>
              <w:jc w:val="right"/>
              <w:rPr>
                <w:rFonts w:cs="Arial"/>
                <w:color w:val="000000"/>
                <w:sz w:val="20"/>
                <w:szCs w:val="20"/>
              </w:rPr>
            </w:pPr>
            <w:r w:rsidRPr="004661B4">
              <w:rPr>
                <w:rFonts w:cs="Arial"/>
                <w:color w:val="000000"/>
                <w:sz w:val="20"/>
                <w:szCs w:val="20"/>
              </w:rPr>
              <w:t>2,382.98</w:t>
            </w:r>
          </w:p>
        </w:tc>
      </w:tr>
      <w:tr w:rsidR="00866495" w:rsidRPr="009A39F9" w14:paraId="73C22548" w14:textId="77777777" w:rsidTr="0070500D">
        <w:trPr>
          <w:trHeight w:val="270"/>
        </w:trPr>
        <w:tc>
          <w:tcPr>
            <w:tcW w:w="1114" w:type="dxa"/>
            <w:tcBorders>
              <w:top w:val="nil"/>
              <w:left w:val="single" w:sz="8" w:space="0" w:color="auto"/>
              <w:bottom w:val="single" w:sz="8" w:space="0" w:color="auto"/>
              <w:right w:val="single" w:sz="8" w:space="0" w:color="auto"/>
            </w:tcBorders>
            <w:noWrap/>
            <w:vAlign w:val="center"/>
            <w:hideMark/>
          </w:tcPr>
          <w:p w14:paraId="1283906A" w14:textId="77777777" w:rsidR="00866495" w:rsidRPr="00415358" w:rsidRDefault="00866495" w:rsidP="0070500D">
            <w:pPr>
              <w:ind w:left="142"/>
              <w:rPr>
                <w:rFonts w:cs="Arial"/>
                <w:color w:val="000000"/>
                <w:sz w:val="20"/>
                <w:szCs w:val="20"/>
              </w:rPr>
            </w:pPr>
            <w:r w:rsidRPr="00415358">
              <w:rPr>
                <w:rFonts w:cs="Arial"/>
                <w:color w:val="000000"/>
                <w:sz w:val="20"/>
                <w:szCs w:val="20"/>
              </w:rPr>
              <w:t>F</w:t>
            </w:r>
          </w:p>
        </w:tc>
        <w:tc>
          <w:tcPr>
            <w:tcW w:w="2288" w:type="dxa"/>
            <w:tcBorders>
              <w:top w:val="nil"/>
              <w:left w:val="nil"/>
              <w:bottom w:val="single" w:sz="8" w:space="0" w:color="auto"/>
              <w:right w:val="single" w:sz="8" w:space="0" w:color="auto"/>
            </w:tcBorders>
            <w:noWrap/>
            <w:vAlign w:val="center"/>
            <w:hideMark/>
          </w:tcPr>
          <w:p w14:paraId="5C47F92A" w14:textId="77777777" w:rsidR="00866495" w:rsidRPr="00415358" w:rsidRDefault="00866495" w:rsidP="0070500D">
            <w:pPr>
              <w:ind w:left="142"/>
              <w:rPr>
                <w:rFonts w:cs="Arial"/>
                <w:color w:val="000000"/>
                <w:sz w:val="20"/>
                <w:szCs w:val="20"/>
              </w:rPr>
            </w:pPr>
            <w:r w:rsidRPr="00415358">
              <w:rPr>
                <w:rFonts w:cs="Arial"/>
                <w:color w:val="000000"/>
                <w:sz w:val="20"/>
                <w:szCs w:val="20"/>
              </w:rPr>
              <w:t>£120,001 to £160,00</w:t>
            </w:r>
            <w:r>
              <w:rPr>
                <w:rFonts w:cs="Arial"/>
                <w:color w:val="000000"/>
                <w:sz w:val="20"/>
                <w:szCs w:val="20"/>
              </w:rPr>
              <w:t>0</w:t>
            </w:r>
          </w:p>
        </w:tc>
        <w:tc>
          <w:tcPr>
            <w:tcW w:w="1137" w:type="dxa"/>
            <w:tcBorders>
              <w:top w:val="nil"/>
              <w:left w:val="nil"/>
              <w:bottom w:val="single" w:sz="8" w:space="0" w:color="auto"/>
              <w:right w:val="single" w:sz="8" w:space="0" w:color="auto"/>
            </w:tcBorders>
            <w:noWrap/>
            <w:vAlign w:val="bottom"/>
          </w:tcPr>
          <w:p w14:paraId="502EA51C" w14:textId="77777777" w:rsidR="00866495" w:rsidRPr="008202A0" w:rsidRDefault="00866495" w:rsidP="0070500D">
            <w:pPr>
              <w:jc w:val="right"/>
              <w:rPr>
                <w:rFonts w:cs="Arial"/>
                <w:color w:val="00B050"/>
                <w:sz w:val="20"/>
                <w:szCs w:val="20"/>
              </w:rPr>
            </w:pPr>
            <w:r>
              <w:rPr>
                <w:rFonts w:cs="Arial"/>
                <w:color w:val="00B050"/>
                <w:sz w:val="20"/>
                <w:szCs w:val="20"/>
              </w:rPr>
              <w:t>1,844.35</w:t>
            </w:r>
          </w:p>
        </w:tc>
        <w:tc>
          <w:tcPr>
            <w:tcW w:w="1154" w:type="dxa"/>
            <w:tcBorders>
              <w:top w:val="nil"/>
              <w:left w:val="nil"/>
              <w:bottom w:val="single" w:sz="8" w:space="0" w:color="auto"/>
              <w:right w:val="single" w:sz="4" w:space="0" w:color="auto"/>
            </w:tcBorders>
            <w:noWrap/>
            <w:vAlign w:val="bottom"/>
          </w:tcPr>
          <w:p w14:paraId="28810FBF" w14:textId="77777777" w:rsidR="00866495" w:rsidRPr="008202A0" w:rsidRDefault="00866495" w:rsidP="0070500D">
            <w:pPr>
              <w:jc w:val="right"/>
              <w:rPr>
                <w:rFonts w:cs="Arial"/>
                <w:color w:val="00B050"/>
                <w:sz w:val="20"/>
                <w:szCs w:val="20"/>
              </w:rPr>
            </w:pPr>
            <w:r>
              <w:rPr>
                <w:rFonts w:cs="Arial"/>
                <w:color w:val="00B050"/>
                <w:sz w:val="20"/>
                <w:szCs w:val="20"/>
              </w:rPr>
              <w:t>357.54</w:t>
            </w:r>
          </w:p>
        </w:tc>
        <w:tc>
          <w:tcPr>
            <w:tcW w:w="1276" w:type="dxa"/>
            <w:tcBorders>
              <w:top w:val="nil"/>
              <w:left w:val="single" w:sz="4" w:space="0" w:color="auto"/>
              <w:bottom w:val="single" w:sz="8" w:space="0" w:color="auto"/>
              <w:right w:val="single" w:sz="4" w:space="0" w:color="auto"/>
            </w:tcBorders>
            <w:vAlign w:val="center"/>
          </w:tcPr>
          <w:p w14:paraId="7A45CD6D" w14:textId="77777777" w:rsidR="00866495" w:rsidRPr="00D17853" w:rsidRDefault="00866495" w:rsidP="0070500D">
            <w:pPr>
              <w:jc w:val="right"/>
              <w:rPr>
                <w:rFonts w:cs="Arial"/>
                <w:b/>
                <w:color w:val="00B050"/>
                <w:sz w:val="20"/>
                <w:szCs w:val="20"/>
              </w:rPr>
            </w:pPr>
            <w:r>
              <w:rPr>
                <w:rFonts w:cs="Arial"/>
                <w:b/>
                <w:color w:val="00B050"/>
                <w:sz w:val="20"/>
                <w:szCs w:val="20"/>
              </w:rPr>
              <w:t>2,241.89</w:t>
            </w:r>
          </w:p>
        </w:tc>
        <w:tc>
          <w:tcPr>
            <w:tcW w:w="966" w:type="dxa"/>
            <w:tcBorders>
              <w:top w:val="nil"/>
              <w:left w:val="single" w:sz="4" w:space="0" w:color="auto"/>
              <w:bottom w:val="single" w:sz="8" w:space="0" w:color="auto"/>
              <w:right w:val="single" w:sz="8" w:space="0" w:color="auto"/>
            </w:tcBorders>
            <w:vAlign w:val="center"/>
          </w:tcPr>
          <w:p w14:paraId="62E6D3E5" w14:textId="77777777" w:rsidR="00866495" w:rsidRDefault="00866495" w:rsidP="0070500D">
            <w:pPr>
              <w:jc w:val="right"/>
              <w:rPr>
                <w:rFonts w:cs="Arial"/>
                <w:color w:val="000000"/>
                <w:sz w:val="20"/>
                <w:szCs w:val="20"/>
              </w:rPr>
            </w:pPr>
            <w:r>
              <w:rPr>
                <w:rFonts w:cs="Arial"/>
                <w:color w:val="000000"/>
                <w:sz w:val="20"/>
                <w:szCs w:val="20"/>
              </w:rPr>
              <w:t>708.33</w:t>
            </w:r>
          </w:p>
        </w:tc>
        <w:tc>
          <w:tcPr>
            <w:tcW w:w="1137" w:type="dxa"/>
            <w:tcBorders>
              <w:top w:val="nil"/>
              <w:left w:val="nil"/>
              <w:bottom w:val="single" w:sz="8" w:space="0" w:color="auto"/>
              <w:right w:val="single" w:sz="8" w:space="0" w:color="auto"/>
            </w:tcBorders>
            <w:noWrap/>
            <w:vAlign w:val="center"/>
          </w:tcPr>
          <w:p w14:paraId="4C5BD76D" w14:textId="77777777" w:rsidR="00866495" w:rsidRPr="009A39F9" w:rsidRDefault="00866495" w:rsidP="0070500D">
            <w:pPr>
              <w:jc w:val="right"/>
              <w:rPr>
                <w:rFonts w:cs="Arial"/>
                <w:b/>
                <w:bCs/>
                <w:color w:val="000000"/>
                <w:sz w:val="20"/>
                <w:szCs w:val="20"/>
                <w:highlight w:val="yellow"/>
              </w:rPr>
            </w:pPr>
            <w:r w:rsidRPr="009A39F9">
              <w:rPr>
                <w:rFonts w:cs="Arial"/>
                <w:b/>
                <w:bCs/>
                <w:color w:val="000000"/>
                <w:sz w:val="20"/>
                <w:szCs w:val="20"/>
              </w:rPr>
              <w:t>2,950.22</w:t>
            </w:r>
          </w:p>
        </w:tc>
        <w:tc>
          <w:tcPr>
            <w:tcW w:w="1137" w:type="dxa"/>
            <w:tcBorders>
              <w:top w:val="nil"/>
              <w:left w:val="nil"/>
              <w:bottom w:val="single" w:sz="8" w:space="0" w:color="auto"/>
              <w:right w:val="single" w:sz="8" w:space="0" w:color="auto"/>
            </w:tcBorders>
            <w:noWrap/>
            <w:vAlign w:val="center"/>
          </w:tcPr>
          <w:p w14:paraId="7A644543" w14:textId="77777777" w:rsidR="00866495" w:rsidRPr="009A39F9" w:rsidRDefault="00866495" w:rsidP="0070500D">
            <w:pPr>
              <w:ind w:left="142"/>
              <w:jc w:val="right"/>
              <w:rPr>
                <w:rFonts w:cs="Arial"/>
                <w:color w:val="000000"/>
                <w:sz w:val="20"/>
                <w:szCs w:val="20"/>
              </w:rPr>
            </w:pPr>
            <w:r w:rsidRPr="009A39F9">
              <w:rPr>
                <w:rFonts w:cs="Arial"/>
                <w:color w:val="000000"/>
                <w:sz w:val="20"/>
                <w:szCs w:val="20"/>
              </w:rPr>
              <w:t>2,816.25</w:t>
            </w:r>
          </w:p>
        </w:tc>
      </w:tr>
      <w:tr w:rsidR="00866495" w:rsidRPr="00EE1ED5" w14:paraId="5298783A" w14:textId="77777777" w:rsidTr="0070500D">
        <w:trPr>
          <w:trHeight w:val="270"/>
        </w:trPr>
        <w:tc>
          <w:tcPr>
            <w:tcW w:w="1114" w:type="dxa"/>
            <w:tcBorders>
              <w:top w:val="nil"/>
              <w:left w:val="single" w:sz="8" w:space="0" w:color="auto"/>
              <w:bottom w:val="single" w:sz="8" w:space="0" w:color="auto"/>
              <w:right w:val="single" w:sz="8" w:space="0" w:color="auto"/>
            </w:tcBorders>
            <w:noWrap/>
            <w:vAlign w:val="center"/>
            <w:hideMark/>
          </w:tcPr>
          <w:p w14:paraId="7A1D246D" w14:textId="77777777" w:rsidR="00866495" w:rsidRPr="00415358" w:rsidRDefault="00866495" w:rsidP="0070500D">
            <w:pPr>
              <w:ind w:left="142"/>
              <w:rPr>
                <w:rFonts w:cs="Arial"/>
                <w:color w:val="000000"/>
                <w:sz w:val="20"/>
                <w:szCs w:val="20"/>
              </w:rPr>
            </w:pPr>
            <w:r w:rsidRPr="00415358">
              <w:rPr>
                <w:rFonts w:cs="Arial"/>
                <w:color w:val="000000"/>
                <w:sz w:val="20"/>
                <w:szCs w:val="20"/>
              </w:rPr>
              <w:t>G</w:t>
            </w:r>
          </w:p>
        </w:tc>
        <w:tc>
          <w:tcPr>
            <w:tcW w:w="2288" w:type="dxa"/>
            <w:tcBorders>
              <w:top w:val="nil"/>
              <w:left w:val="nil"/>
              <w:bottom w:val="single" w:sz="8" w:space="0" w:color="auto"/>
              <w:right w:val="single" w:sz="8" w:space="0" w:color="auto"/>
            </w:tcBorders>
            <w:noWrap/>
            <w:vAlign w:val="center"/>
            <w:hideMark/>
          </w:tcPr>
          <w:p w14:paraId="4B0B71BE" w14:textId="77777777" w:rsidR="00866495" w:rsidRPr="00415358" w:rsidRDefault="00866495" w:rsidP="0070500D">
            <w:pPr>
              <w:ind w:left="142"/>
              <w:rPr>
                <w:rFonts w:cs="Arial"/>
                <w:color w:val="000000"/>
                <w:sz w:val="20"/>
                <w:szCs w:val="20"/>
              </w:rPr>
            </w:pPr>
            <w:r w:rsidRPr="00415358">
              <w:rPr>
                <w:rFonts w:cs="Arial"/>
                <w:color w:val="000000"/>
                <w:sz w:val="20"/>
                <w:szCs w:val="20"/>
              </w:rPr>
              <w:t>£160,001 to £320,000</w:t>
            </w:r>
          </w:p>
        </w:tc>
        <w:tc>
          <w:tcPr>
            <w:tcW w:w="1137" w:type="dxa"/>
            <w:tcBorders>
              <w:top w:val="nil"/>
              <w:left w:val="nil"/>
              <w:bottom w:val="single" w:sz="8" w:space="0" w:color="auto"/>
              <w:right w:val="single" w:sz="8" w:space="0" w:color="auto"/>
            </w:tcBorders>
            <w:noWrap/>
            <w:vAlign w:val="bottom"/>
          </w:tcPr>
          <w:p w14:paraId="11176184" w14:textId="77777777" w:rsidR="00866495" w:rsidRPr="008202A0" w:rsidRDefault="00866495" w:rsidP="0070500D">
            <w:pPr>
              <w:jc w:val="right"/>
              <w:rPr>
                <w:rFonts w:cs="Arial"/>
                <w:color w:val="00B050"/>
                <w:sz w:val="20"/>
                <w:szCs w:val="20"/>
              </w:rPr>
            </w:pPr>
            <w:r>
              <w:rPr>
                <w:rFonts w:cs="Arial"/>
                <w:color w:val="00B050"/>
                <w:sz w:val="20"/>
                <w:szCs w:val="20"/>
              </w:rPr>
              <w:t>2,174.25</w:t>
            </w:r>
          </w:p>
        </w:tc>
        <w:tc>
          <w:tcPr>
            <w:tcW w:w="1154" w:type="dxa"/>
            <w:tcBorders>
              <w:top w:val="nil"/>
              <w:left w:val="nil"/>
              <w:bottom w:val="single" w:sz="8" w:space="0" w:color="auto"/>
              <w:right w:val="single" w:sz="4" w:space="0" w:color="auto"/>
            </w:tcBorders>
            <w:noWrap/>
            <w:vAlign w:val="bottom"/>
          </w:tcPr>
          <w:p w14:paraId="4904B01D" w14:textId="77777777" w:rsidR="00866495" w:rsidRPr="008202A0" w:rsidRDefault="00866495" w:rsidP="0070500D">
            <w:pPr>
              <w:jc w:val="right"/>
              <w:rPr>
                <w:rFonts w:cs="Arial"/>
                <w:color w:val="00B050"/>
                <w:sz w:val="20"/>
                <w:szCs w:val="20"/>
              </w:rPr>
            </w:pPr>
            <w:r>
              <w:rPr>
                <w:rFonts w:cs="Arial"/>
                <w:color w:val="00B050"/>
                <w:sz w:val="20"/>
                <w:szCs w:val="20"/>
              </w:rPr>
              <w:t>412.55</w:t>
            </w:r>
          </w:p>
        </w:tc>
        <w:tc>
          <w:tcPr>
            <w:tcW w:w="1276" w:type="dxa"/>
            <w:tcBorders>
              <w:top w:val="nil"/>
              <w:left w:val="single" w:sz="4" w:space="0" w:color="auto"/>
              <w:bottom w:val="single" w:sz="8" w:space="0" w:color="auto"/>
              <w:right w:val="single" w:sz="4" w:space="0" w:color="auto"/>
            </w:tcBorders>
            <w:vAlign w:val="center"/>
          </w:tcPr>
          <w:p w14:paraId="53E513FD" w14:textId="77777777" w:rsidR="00866495" w:rsidRPr="00D17853" w:rsidRDefault="00866495" w:rsidP="0070500D">
            <w:pPr>
              <w:jc w:val="right"/>
              <w:rPr>
                <w:rFonts w:cs="Arial"/>
                <w:b/>
                <w:color w:val="00B050"/>
                <w:sz w:val="20"/>
                <w:szCs w:val="20"/>
              </w:rPr>
            </w:pPr>
            <w:r>
              <w:rPr>
                <w:rFonts w:cs="Arial"/>
                <w:b/>
                <w:color w:val="00B050"/>
                <w:sz w:val="20"/>
                <w:szCs w:val="20"/>
              </w:rPr>
              <w:t>2,586.80</w:t>
            </w:r>
          </w:p>
        </w:tc>
        <w:tc>
          <w:tcPr>
            <w:tcW w:w="966" w:type="dxa"/>
            <w:tcBorders>
              <w:top w:val="nil"/>
              <w:left w:val="single" w:sz="4" w:space="0" w:color="auto"/>
              <w:bottom w:val="single" w:sz="8" w:space="0" w:color="auto"/>
              <w:right w:val="single" w:sz="8" w:space="0" w:color="auto"/>
            </w:tcBorders>
            <w:vAlign w:val="center"/>
          </w:tcPr>
          <w:p w14:paraId="163CA761" w14:textId="77777777" w:rsidR="00866495" w:rsidRDefault="00866495" w:rsidP="0070500D">
            <w:pPr>
              <w:jc w:val="right"/>
              <w:rPr>
                <w:rFonts w:cs="Arial"/>
                <w:color w:val="000000"/>
                <w:sz w:val="20"/>
                <w:szCs w:val="20"/>
              </w:rPr>
            </w:pPr>
            <w:r>
              <w:rPr>
                <w:rFonts w:cs="Arial"/>
                <w:color w:val="000000"/>
                <w:sz w:val="20"/>
                <w:szCs w:val="20"/>
              </w:rPr>
              <w:t>817.30</w:t>
            </w:r>
          </w:p>
        </w:tc>
        <w:tc>
          <w:tcPr>
            <w:tcW w:w="1137" w:type="dxa"/>
            <w:tcBorders>
              <w:top w:val="nil"/>
              <w:left w:val="nil"/>
              <w:bottom w:val="single" w:sz="8" w:space="0" w:color="auto"/>
              <w:right w:val="single" w:sz="8" w:space="0" w:color="auto"/>
            </w:tcBorders>
            <w:noWrap/>
            <w:vAlign w:val="center"/>
          </w:tcPr>
          <w:p w14:paraId="2FEDFF3E" w14:textId="77777777" w:rsidR="00866495" w:rsidRDefault="00866495" w:rsidP="0070500D">
            <w:pPr>
              <w:jc w:val="right"/>
              <w:rPr>
                <w:rFonts w:cs="Arial"/>
                <w:b/>
                <w:bCs/>
                <w:color w:val="000000"/>
                <w:sz w:val="20"/>
                <w:szCs w:val="20"/>
              </w:rPr>
            </w:pPr>
            <w:r>
              <w:rPr>
                <w:rFonts w:cs="Arial"/>
                <w:b/>
                <w:bCs/>
                <w:color w:val="000000"/>
                <w:sz w:val="20"/>
                <w:szCs w:val="20"/>
              </w:rPr>
              <w:t>3,404.10</w:t>
            </w:r>
          </w:p>
        </w:tc>
        <w:tc>
          <w:tcPr>
            <w:tcW w:w="1137" w:type="dxa"/>
            <w:tcBorders>
              <w:top w:val="nil"/>
              <w:left w:val="nil"/>
              <w:bottom w:val="single" w:sz="8" w:space="0" w:color="auto"/>
              <w:right w:val="single" w:sz="8" w:space="0" w:color="auto"/>
            </w:tcBorders>
            <w:noWrap/>
            <w:vAlign w:val="center"/>
          </w:tcPr>
          <w:p w14:paraId="5865C08B" w14:textId="77777777" w:rsidR="00866495" w:rsidRPr="004661B4" w:rsidRDefault="00866495" w:rsidP="0070500D">
            <w:pPr>
              <w:ind w:left="142"/>
              <w:jc w:val="right"/>
              <w:rPr>
                <w:rFonts w:cs="Arial"/>
                <w:color w:val="000000"/>
                <w:sz w:val="20"/>
                <w:szCs w:val="20"/>
              </w:rPr>
            </w:pPr>
            <w:r w:rsidRPr="004661B4">
              <w:rPr>
                <w:rFonts w:cs="Arial"/>
                <w:color w:val="000000"/>
                <w:sz w:val="20"/>
                <w:szCs w:val="20"/>
              </w:rPr>
              <w:t>3,249.52</w:t>
            </w:r>
          </w:p>
        </w:tc>
      </w:tr>
      <w:tr w:rsidR="00866495" w:rsidRPr="00EE1ED5" w14:paraId="13DD1D51" w14:textId="77777777" w:rsidTr="0070500D">
        <w:trPr>
          <w:trHeight w:val="270"/>
        </w:trPr>
        <w:tc>
          <w:tcPr>
            <w:tcW w:w="1114" w:type="dxa"/>
            <w:tcBorders>
              <w:top w:val="nil"/>
              <w:left w:val="single" w:sz="8" w:space="0" w:color="auto"/>
              <w:bottom w:val="single" w:sz="8" w:space="0" w:color="auto"/>
              <w:right w:val="single" w:sz="8" w:space="0" w:color="auto"/>
            </w:tcBorders>
            <w:noWrap/>
            <w:vAlign w:val="center"/>
            <w:hideMark/>
          </w:tcPr>
          <w:p w14:paraId="3E4919D8" w14:textId="77777777" w:rsidR="00866495" w:rsidRPr="00415358" w:rsidRDefault="00866495" w:rsidP="0070500D">
            <w:pPr>
              <w:ind w:left="142"/>
              <w:rPr>
                <w:rFonts w:cs="Arial"/>
                <w:color w:val="000000"/>
                <w:sz w:val="20"/>
                <w:szCs w:val="20"/>
              </w:rPr>
            </w:pPr>
            <w:r w:rsidRPr="00415358">
              <w:rPr>
                <w:rFonts w:cs="Arial"/>
                <w:color w:val="000000"/>
                <w:sz w:val="20"/>
                <w:szCs w:val="20"/>
              </w:rPr>
              <w:t xml:space="preserve">H </w:t>
            </w:r>
          </w:p>
        </w:tc>
        <w:tc>
          <w:tcPr>
            <w:tcW w:w="2288" w:type="dxa"/>
            <w:tcBorders>
              <w:top w:val="nil"/>
              <w:left w:val="nil"/>
              <w:bottom w:val="single" w:sz="8" w:space="0" w:color="auto"/>
              <w:right w:val="single" w:sz="8" w:space="0" w:color="auto"/>
            </w:tcBorders>
            <w:noWrap/>
            <w:vAlign w:val="center"/>
            <w:hideMark/>
          </w:tcPr>
          <w:p w14:paraId="157145F8" w14:textId="77777777" w:rsidR="00866495" w:rsidRPr="00415358" w:rsidRDefault="00866495" w:rsidP="0070500D">
            <w:pPr>
              <w:ind w:left="142"/>
              <w:rPr>
                <w:rFonts w:cs="Arial"/>
                <w:color w:val="000000"/>
                <w:sz w:val="20"/>
                <w:szCs w:val="20"/>
              </w:rPr>
            </w:pPr>
            <w:r w:rsidRPr="00415358">
              <w:rPr>
                <w:rFonts w:cs="Arial"/>
                <w:color w:val="000000"/>
                <w:sz w:val="20"/>
                <w:szCs w:val="20"/>
              </w:rPr>
              <w:t>more than £320,00</w:t>
            </w:r>
            <w:r w:rsidRPr="00E37AE6">
              <w:rPr>
                <w:rFonts w:cs="Arial"/>
                <w:color w:val="000000"/>
                <w:sz w:val="20"/>
                <w:szCs w:val="20"/>
              </w:rPr>
              <w:t>0</w:t>
            </w:r>
          </w:p>
        </w:tc>
        <w:tc>
          <w:tcPr>
            <w:tcW w:w="1137" w:type="dxa"/>
            <w:tcBorders>
              <w:top w:val="nil"/>
              <w:left w:val="nil"/>
              <w:bottom w:val="single" w:sz="8" w:space="0" w:color="auto"/>
              <w:right w:val="single" w:sz="8" w:space="0" w:color="auto"/>
            </w:tcBorders>
            <w:noWrap/>
            <w:vAlign w:val="bottom"/>
          </w:tcPr>
          <w:p w14:paraId="3595EE0C" w14:textId="77777777" w:rsidR="00866495" w:rsidRPr="008202A0" w:rsidRDefault="00866495" w:rsidP="0070500D">
            <w:pPr>
              <w:jc w:val="right"/>
              <w:rPr>
                <w:rFonts w:cs="Arial"/>
                <w:color w:val="00B050"/>
                <w:sz w:val="20"/>
                <w:szCs w:val="20"/>
              </w:rPr>
            </w:pPr>
            <w:r>
              <w:rPr>
                <w:rFonts w:cs="Arial"/>
                <w:color w:val="00B050"/>
                <w:sz w:val="20"/>
                <w:szCs w:val="20"/>
              </w:rPr>
              <w:t>2,609.10</w:t>
            </w:r>
          </w:p>
        </w:tc>
        <w:tc>
          <w:tcPr>
            <w:tcW w:w="1154" w:type="dxa"/>
            <w:tcBorders>
              <w:top w:val="nil"/>
              <w:left w:val="nil"/>
              <w:bottom w:val="single" w:sz="8" w:space="0" w:color="auto"/>
              <w:right w:val="single" w:sz="4" w:space="0" w:color="auto"/>
            </w:tcBorders>
            <w:noWrap/>
            <w:vAlign w:val="bottom"/>
          </w:tcPr>
          <w:p w14:paraId="53DA099E" w14:textId="77777777" w:rsidR="00866495" w:rsidRPr="008202A0" w:rsidRDefault="00866495" w:rsidP="0070500D">
            <w:pPr>
              <w:jc w:val="right"/>
              <w:rPr>
                <w:rFonts w:cs="Arial"/>
                <w:color w:val="00B050"/>
                <w:sz w:val="20"/>
                <w:szCs w:val="20"/>
              </w:rPr>
            </w:pPr>
            <w:r>
              <w:rPr>
                <w:rFonts w:cs="Arial"/>
                <w:color w:val="00B050"/>
                <w:sz w:val="20"/>
                <w:szCs w:val="20"/>
              </w:rPr>
              <w:t>495.06</w:t>
            </w:r>
          </w:p>
        </w:tc>
        <w:tc>
          <w:tcPr>
            <w:tcW w:w="1276" w:type="dxa"/>
            <w:tcBorders>
              <w:top w:val="nil"/>
              <w:left w:val="single" w:sz="4" w:space="0" w:color="auto"/>
              <w:bottom w:val="single" w:sz="8" w:space="0" w:color="auto"/>
              <w:right w:val="single" w:sz="4" w:space="0" w:color="auto"/>
            </w:tcBorders>
            <w:vAlign w:val="center"/>
          </w:tcPr>
          <w:p w14:paraId="6EAFC245" w14:textId="77777777" w:rsidR="00866495" w:rsidRPr="009A39F9" w:rsidRDefault="00866495" w:rsidP="0070500D">
            <w:pPr>
              <w:jc w:val="right"/>
              <w:rPr>
                <w:rFonts w:cs="Arial"/>
                <w:b/>
                <w:color w:val="00B050"/>
                <w:sz w:val="20"/>
                <w:szCs w:val="20"/>
              </w:rPr>
            </w:pPr>
            <w:r w:rsidRPr="009A39F9">
              <w:rPr>
                <w:rFonts w:cs="Arial"/>
                <w:b/>
                <w:color w:val="00B050"/>
                <w:sz w:val="20"/>
                <w:szCs w:val="20"/>
              </w:rPr>
              <w:t>3,404.16</w:t>
            </w:r>
          </w:p>
        </w:tc>
        <w:tc>
          <w:tcPr>
            <w:tcW w:w="966" w:type="dxa"/>
            <w:tcBorders>
              <w:top w:val="nil"/>
              <w:left w:val="single" w:sz="4" w:space="0" w:color="auto"/>
              <w:bottom w:val="single" w:sz="8" w:space="0" w:color="auto"/>
              <w:right w:val="single" w:sz="8" w:space="0" w:color="auto"/>
            </w:tcBorders>
            <w:vAlign w:val="center"/>
          </w:tcPr>
          <w:p w14:paraId="67BCC308" w14:textId="77777777" w:rsidR="00866495" w:rsidRDefault="00866495" w:rsidP="0070500D">
            <w:pPr>
              <w:jc w:val="right"/>
              <w:rPr>
                <w:rFonts w:cs="Arial"/>
                <w:color w:val="000000"/>
                <w:sz w:val="20"/>
                <w:szCs w:val="20"/>
              </w:rPr>
            </w:pPr>
            <w:r>
              <w:rPr>
                <w:rFonts w:cs="Arial"/>
                <w:color w:val="000000"/>
                <w:sz w:val="20"/>
                <w:szCs w:val="20"/>
              </w:rPr>
              <w:t>980.76</w:t>
            </w:r>
          </w:p>
        </w:tc>
        <w:tc>
          <w:tcPr>
            <w:tcW w:w="1137" w:type="dxa"/>
            <w:tcBorders>
              <w:top w:val="nil"/>
              <w:left w:val="nil"/>
              <w:bottom w:val="single" w:sz="8" w:space="0" w:color="auto"/>
              <w:right w:val="single" w:sz="8" w:space="0" w:color="auto"/>
            </w:tcBorders>
            <w:noWrap/>
            <w:vAlign w:val="center"/>
          </w:tcPr>
          <w:p w14:paraId="4F92EE62" w14:textId="77777777" w:rsidR="00866495" w:rsidRDefault="00866495" w:rsidP="0070500D">
            <w:pPr>
              <w:jc w:val="right"/>
              <w:rPr>
                <w:rFonts w:cs="Arial"/>
                <w:b/>
                <w:bCs/>
                <w:color w:val="000000"/>
                <w:sz w:val="20"/>
                <w:szCs w:val="20"/>
              </w:rPr>
            </w:pPr>
            <w:r>
              <w:rPr>
                <w:rFonts w:cs="Arial"/>
                <w:b/>
                <w:bCs/>
                <w:color w:val="000000"/>
                <w:sz w:val="20"/>
                <w:szCs w:val="20"/>
              </w:rPr>
              <w:t>4,084.92</w:t>
            </w:r>
          </w:p>
        </w:tc>
        <w:tc>
          <w:tcPr>
            <w:tcW w:w="1137" w:type="dxa"/>
            <w:tcBorders>
              <w:top w:val="nil"/>
              <w:left w:val="nil"/>
              <w:bottom w:val="single" w:sz="8" w:space="0" w:color="auto"/>
              <w:right w:val="single" w:sz="8" w:space="0" w:color="auto"/>
            </w:tcBorders>
            <w:noWrap/>
            <w:vAlign w:val="center"/>
          </w:tcPr>
          <w:p w14:paraId="52D015B2" w14:textId="77777777" w:rsidR="00866495" w:rsidRPr="004661B4" w:rsidRDefault="00866495" w:rsidP="0070500D">
            <w:pPr>
              <w:ind w:left="142"/>
              <w:jc w:val="right"/>
              <w:rPr>
                <w:rFonts w:cs="Arial"/>
                <w:color w:val="000000"/>
                <w:sz w:val="20"/>
                <w:szCs w:val="20"/>
              </w:rPr>
            </w:pPr>
            <w:r w:rsidRPr="004661B4">
              <w:rPr>
                <w:rFonts w:cs="Arial"/>
                <w:color w:val="000000"/>
                <w:sz w:val="20"/>
                <w:szCs w:val="20"/>
              </w:rPr>
              <w:t>3,899.42</w:t>
            </w:r>
          </w:p>
        </w:tc>
      </w:tr>
    </w:tbl>
    <w:p w14:paraId="24BA6320" w14:textId="77777777" w:rsidR="00866495" w:rsidRDefault="00866495" w:rsidP="00866495">
      <w:pPr>
        <w:ind w:left="142"/>
      </w:pPr>
    </w:p>
    <w:p w14:paraId="1D798D08" w14:textId="77777777" w:rsidR="00866495" w:rsidRPr="00F53B1B" w:rsidRDefault="00866495" w:rsidP="00866495">
      <w:pPr>
        <w:ind w:left="142"/>
        <w:rPr>
          <w:sz w:val="20"/>
          <w:szCs w:val="20"/>
        </w:rPr>
      </w:pPr>
      <w:r w:rsidRPr="00F53B1B">
        <w:rPr>
          <w:rFonts w:cs="Arial"/>
          <w:sz w:val="20"/>
          <w:szCs w:val="20"/>
        </w:rPr>
        <w:t>Adult Social Care (ASC) precept increase for 20</w:t>
      </w:r>
      <w:r>
        <w:rPr>
          <w:rFonts w:cs="Arial"/>
          <w:sz w:val="20"/>
          <w:szCs w:val="20"/>
        </w:rPr>
        <w:t>25</w:t>
      </w:r>
      <w:r w:rsidRPr="00F53B1B">
        <w:rPr>
          <w:rFonts w:cs="Arial"/>
          <w:sz w:val="20"/>
          <w:szCs w:val="20"/>
        </w:rPr>
        <w:t>/</w:t>
      </w:r>
      <w:r>
        <w:rPr>
          <w:rFonts w:cs="Arial"/>
          <w:sz w:val="20"/>
          <w:szCs w:val="20"/>
        </w:rPr>
        <w:t>26</w:t>
      </w:r>
      <w:r w:rsidRPr="00F53B1B">
        <w:rPr>
          <w:rFonts w:cs="Arial"/>
          <w:sz w:val="20"/>
          <w:szCs w:val="20"/>
        </w:rPr>
        <w:t xml:space="preserve"> is calculated based on </w:t>
      </w:r>
      <w:r>
        <w:rPr>
          <w:rFonts w:cs="Arial"/>
          <w:sz w:val="20"/>
          <w:szCs w:val="20"/>
        </w:rPr>
        <w:t>2</w:t>
      </w:r>
      <w:r w:rsidRPr="00F53B1B">
        <w:rPr>
          <w:rFonts w:cs="Arial"/>
          <w:sz w:val="20"/>
          <w:szCs w:val="20"/>
        </w:rPr>
        <w:t xml:space="preserve">% of the combined </w:t>
      </w:r>
      <w:r w:rsidRPr="00E37AE6">
        <w:rPr>
          <w:rFonts w:cs="Arial"/>
          <w:sz w:val="20"/>
          <w:szCs w:val="20"/>
        </w:rPr>
        <w:t>Bromley element for 20</w:t>
      </w:r>
      <w:r>
        <w:rPr>
          <w:rFonts w:cs="Arial"/>
          <w:sz w:val="20"/>
          <w:szCs w:val="20"/>
        </w:rPr>
        <w:t>24</w:t>
      </w:r>
      <w:r w:rsidRPr="00E37AE6">
        <w:rPr>
          <w:rFonts w:cs="Arial"/>
          <w:sz w:val="20"/>
          <w:szCs w:val="20"/>
        </w:rPr>
        <w:t>/</w:t>
      </w:r>
      <w:r>
        <w:rPr>
          <w:rFonts w:cs="Arial"/>
          <w:sz w:val="20"/>
          <w:szCs w:val="20"/>
        </w:rPr>
        <w:t>25</w:t>
      </w:r>
      <w:r w:rsidRPr="00E37AE6">
        <w:rPr>
          <w:rFonts w:cs="Arial"/>
          <w:sz w:val="20"/>
          <w:szCs w:val="20"/>
        </w:rPr>
        <w:t>, plus the ASC sum levied in 20</w:t>
      </w:r>
      <w:r>
        <w:rPr>
          <w:rFonts w:cs="Arial"/>
          <w:sz w:val="20"/>
          <w:szCs w:val="20"/>
        </w:rPr>
        <w:t>24/25</w:t>
      </w:r>
      <w:r w:rsidRPr="00E37AE6">
        <w:rPr>
          <w:rFonts w:cs="Arial"/>
          <w:sz w:val="20"/>
          <w:szCs w:val="20"/>
        </w:rPr>
        <w:t xml:space="preserve">. (e.g., an increase </w:t>
      </w:r>
      <w:r w:rsidRPr="006A7C78">
        <w:rPr>
          <w:rFonts w:cs="Arial"/>
          <w:sz w:val="20"/>
          <w:szCs w:val="20"/>
        </w:rPr>
        <w:t>of £29.57 for</w:t>
      </w:r>
      <w:r w:rsidRPr="00E37AE6">
        <w:rPr>
          <w:rFonts w:cs="Arial"/>
          <w:sz w:val="20"/>
          <w:szCs w:val="20"/>
        </w:rPr>
        <w:t xml:space="preserve"> a band D property in 20</w:t>
      </w:r>
      <w:r>
        <w:rPr>
          <w:rFonts w:cs="Arial"/>
          <w:sz w:val="20"/>
          <w:szCs w:val="20"/>
        </w:rPr>
        <w:t>25</w:t>
      </w:r>
      <w:r w:rsidRPr="00E37AE6">
        <w:rPr>
          <w:rFonts w:cs="Arial"/>
          <w:sz w:val="20"/>
          <w:szCs w:val="20"/>
        </w:rPr>
        <w:t>/</w:t>
      </w:r>
      <w:r>
        <w:rPr>
          <w:rFonts w:cs="Arial"/>
          <w:sz w:val="20"/>
          <w:szCs w:val="20"/>
        </w:rPr>
        <w:t>26</w:t>
      </w:r>
      <w:r w:rsidRPr="00E37AE6">
        <w:rPr>
          <w:rFonts w:cs="Arial"/>
          <w:sz w:val="20"/>
          <w:szCs w:val="20"/>
        </w:rPr>
        <w:t>).</w:t>
      </w:r>
    </w:p>
    <w:p w14:paraId="5B242D8B" w14:textId="77777777" w:rsidR="00866495" w:rsidRDefault="00866495" w:rsidP="00866495">
      <w:pPr>
        <w:ind w:left="142"/>
        <w:rPr>
          <w:sz w:val="20"/>
          <w:szCs w:val="20"/>
        </w:rPr>
      </w:pPr>
    </w:p>
    <w:p w14:paraId="15F40BD5" w14:textId="77777777" w:rsidR="00866495" w:rsidRPr="0060621E" w:rsidRDefault="00866495" w:rsidP="00866495">
      <w:pPr>
        <w:ind w:left="142"/>
      </w:pPr>
      <w:r>
        <w:t xml:space="preserve">After allowing for the increase in the Bromley element of the Council Tax and the GLA precept the overall increase in Council Tax is 4.76% on last year.  </w:t>
      </w:r>
    </w:p>
    <w:p w14:paraId="4E76B827" w14:textId="0BFF43E1" w:rsidR="00866495" w:rsidRPr="00866495" w:rsidRDefault="00866495" w:rsidP="00866495">
      <w:pPr>
        <w:pStyle w:val="Heading1"/>
        <w:ind w:left="142"/>
        <w:rPr>
          <w:b/>
          <w:bCs/>
          <w:sz w:val="28"/>
        </w:rPr>
      </w:pPr>
      <w:bookmarkStart w:id="0" w:name="_Toc444695161"/>
      <w:r w:rsidRPr="00866495">
        <w:rPr>
          <w:b/>
          <w:bCs/>
          <w:sz w:val="28"/>
        </w:rPr>
        <w:t>Valuation Office</w:t>
      </w:r>
      <w:bookmarkEnd w:id="0"/>
    </w:p>
    <w:p w14:paraId="3B839ED6" w14:textId="77777777" w:rsidR="00866495" w:rsidRPr="006D556C" w:rsidRDefault="00866495" w:rsidP="00866495">
      <w:pPr>
        <w:ind w:left="142"/>
        <w:rPr>
          <w:sz w:val="28"/>
          <w:szCs w:val="28"/>
        </w:rPr>
      </w:pPr>
    </w:p>
    <w:p w14:paraId="43715C72" w14:textId="77777777" w:rsidR="00866495" w:rsidRDefault="00866495" w:rsidP="00866495">
      <w:pPr>
        <w:ind w:left="142"/>
      </w:pPr>
      <w:r>
        <w:t xml:space="preserve">Council tax valuation bands are based on market value at the 1 April 1991 and are set by the Valuation Office Agency (VOA), which is independent from the Council.  </w:t>
      </w:r>
    </w:p>
    <w:p w14:paraId="6EF4600C" w14:textId="77777777" w:rsidR="00866495" w:rsidRDefault="00866495" w:rsidP="00866495">
      <w:pPr>
        <w:ind w:left="142"/>
      </w:pPr>
    </w:p>
    <w:p w14:paraId="66030280" w14:textId="30159602" w:rsidR="009870B5" w:rsidRDefault="00866495" w:rsidP="00866495">
      <w:pPr>
        <w:rPr>
          <w:rStyle w:val="Hyperlink"/>
          <w:rFonts w:eastAsiaTheme="majorEastAsia"/>
        </w:rPr>
      </w:pPr>
      <w:r>
        <w:t xml:space="preserve">Should you wish to appeal your banding, you do not need a representative to appeal on your behalf.  You can do this free of charge by contacting the Valuation Officer on telephone number 03000 501 501 or go to the VOA website for more information </w:t>
      </w:r>
      <w:hyperlink r:id="rId4" w:history="1">
        <w:r w:rsidRPr="005C212B">
          <w:rPr>
            <w:rStyle w:val="Hyperlink"/>
            <w:rFonts w:eastAsiaTheme="majorEastAsia"/>
          </w:rPr>
          <w:t>www.voa.gov.uk</w:t>
        </w:r>
      </w:hyperlink>
    </w:p>
    <w:p w14:paraId="12C7D66A" w14:textId="77777777" w:rsidR="00866495" w:rsidRDefault="00866495" w:rsidP="00866495">
      <w:pPr>
        <w:rPr>
          <w:rStyle w:val="Hyperlink"/>
          <w:rFonts w:eastAsiaTheme="majorEastAsia"/>
        </w:rPr>
      </w:pPr>
    </w:p>
    <w:p w14:paraId="42F4B153" w14:textId="77777777" w:rsidR="00866495" w:rsidRPr="006D556C" w:rsidRDefault="00866495" w:rsidP="00866495">
      <w:pPr>
        <w:pStyle w:val="Heading1"/>
        <w:ind w:left="142"/>
        <w:rPr>
          <w:sz w:val="28"/>
        </w:rPr>
      </w:pPr>
      <w:bookmarkStart w:id="1" w:name="_Toc444695162"/>
      <w:r w:rsidRPr="00BD2300">
        <w:rPr>
          <w:sz w:val="28"/>
        </w:rPr>
        <w:t xml:space="preserve">How is Council Tax calculated: </w:t>
      </w:r>
      <w:bookmarkEnd w:id="1"/>
      <w:r w:rsidRPr="006D556C">
        <w:rPr>
          <w:sz w:val="28"/>
        </w:rPr>
        <w:t xml:space="preserve">   </w:t>
      </w:r>
    </w:p>
    <w:tbl>
      <w:tblPr>
        <w:tblpPr w:leftFromText="180" w:rightFromText="180" w:vertAnchor="text" w:horzAnchor="margin" w:tblpY="100"/>
        <w:tblW w:w="11174" w:type="dxa"/>
        <w:tblLook w:val="04A0" w:firstRow="1" w:lastRow="0" w:firstColumn="1" w:lastColumn="0" w:noHBand="0" w:noVBand="1"/>
      </w:tblPr>
      <w:tblGrid>
        <w:gridCol w:w="1490"/>
        <w:gridCol w:w="6817"/>
        <w:gridCol w:w="1469"/>
        <w:gridCol w:w="1398"/>
      </w:tblGrid>
      <w:tr w:rsidR="00866495" w:rsidRPr="00695835" w14:paraId="7D513B3A" w14:textId="77777777" w:rsidTr="0070500D">
        <w:trPr>
          <w:trHeight w:val="349"/>
        </w:trPr>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38A07" w14:textId="77777777" w:rsidR="00866495" w:rsidRPr="00695835" w:rsidRDefault="00866495" w:rsidP="0070500D">
            <w:pPr>
              <w:jc w:val="right"/>
              <w:rPr>
                <w:rFonts w:cs="Arial"/>
                <w:b/>
                <w:bCs/>
                <w:sz w:val="19"/>
                <w:szCs w:val="19"/>
              </w:rPr>
            </w:pPr>
            <w:r w:rsidRPr="00695835">
              <w:rPr>
                <w:rFonts w:cs="Arial"/>
                <w:b/>
                <w:bCs/>
                <w:sz w:val="19"/>
                <w:szCs w:val="19"/>
              </w:rPr>
              <w:t>2024/25</w:t>
            </w:r>
          </w:p>
        </w:tc>
        <w:tc>
          <w:tcPr>
            <w:tcW w:w="6817" w:type="dxa"/>
            <w:tcBorders>
              <w:top w:val="single" w:sz="4" w:space="0" w:color="auto"/>
              <w:left w:val="nil"/>
              <w:bottom w:val="single" w:sz="4" w:space="0" w:color="auto"/>
              <w:right w:val="single" w:sz="4" w:space="0" w:color="auto"/>
            </w:tcBorders>
            <w:shd w:val="clear" w:color="auto" w:fill="auto"/>
            <w:noWrap/>
            <w:vAlign w:val="center"/>
            <w:hideMark/>
          </w:tcPr>
          <w:p w14:paraId="7A131651" w14:textId="77777777" w:rsidR="00866495" w:rsidRPr="00695835" w:rsidRDefault="00866495" w:rsidP="0070500D">
            <w:pPr>
              <w:rPr>
                <w:rFonts w:cs="Arial"/>
                <w:b/>
                <w:bCs/>
                <w:sz w:val="19"/>
                <w:szCs w:val="19"/>
              </w:rPr>
            </w:pPr>
            <w:r w:rsidRPr="00695835">
              <w:rPr>
                <w:rFonts w:cs="Arial"/>
                <w:b/>
                <w:bCs/>
                <w:sz w:val="19"/>
                <w:szCs w:val="19"/>
              </w:rPr>
              <w:t xml:space="preserve">Portfolio/Item </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494C1138" w14:textId="77777777" w:rsidR="00866495" w:rsidRPr="00695835" w:rsidRDefault="00866495" w:rsidP="0070500D">
            <w:pPr>
              <w:jc w:val="right"/>
              <w:rPr>
                <w:rFonts w:cs="Arial"/>
                <w:b/>
                <w:bCs/>
                <w:sz w:val="19"/>
                <w:szCs w:val="19"/>
              </w:rPr>
            </w:pPr>
            <w:r w:rsidRPr="00695835">
              <w:rPr>
                <w:rFonts w:cs="Arial"/>
                <w:b/>
                <w:bCs/>
                <w:sz w:val="19"/>
                <w:szCs w:val="19"/>
              </w:rPr>
              <w:t>2025/26</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14:paraId="063D6B7D" w14:textId="77777777" w:rsidR="00866495" w:rsidRPr="00695835" w:rsidRDefault="00866495" w:rsidP="0070500D">
            <w:pPr>
              <w:jc w:val="right"/>
              <w:rPr>
                <w:rFonts w:cs="Arial"/>
                <w:b/>
                <w:bCs/>
                <w:sz w:val="19"/>
                <w:szCs w:val="19"/>
              </w:rPr>
            </w:pPr>
            <w:r w:rsidRPr="00695835">
              <w:rPr>
                <w:rFonts w:cs="Arial"/>
                <w:b/>
                <w:bCs/>
                <w:sz w:val="19"/>
                <w:szCs w:val="19"/>
              </w:rPr>
              <w:t>2025/26</w:t>
            </w:r>
          </w:p>
        </w:tc>
      </w:tr>
      <w:tr w:rsidR="00866495" w:rsidRPr="00695835" w14:paraId="41F300BB"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305A0F57" w14:textId="77777777" w:rsidR="00866495" w:rsidRPr="00695835" w:rsidRDefault="00866495" w:rsidP="0070500D">
            <w:pPr>
              <w:jc w:val="right"/>
              <w:rPr>
                <w:rFonts w:cs="Arial"/>
                <w:b/>
                <w:bCs/>
                <w:sz w:val="19"/>
                <w:szCs w:val="19"/>
              </w:rPr>
            </w:pPr>
            <w:r w:rsidRPr="00695835">
              <w:rPr>
                <w:rFonts w:cs="Arial"/>
                <w:b/>
                <w:bCs/>
                <w:sz w:val="19"/>
                <w:szCs w:val="19"/>
              </w:rPr>
              <w:t>Draft</w:t>
            </w:r>
          </w:p>
        </w:tc>
        <w:tc>
          <w:tcPr>
            <w:tcW w:w="6817" w:type="dxa"/>
            <w:tcBorders>
              <w:top w:val="nil"/>
              <w:left w:val="nil"/>
              <w:bottom w:val="nil"/>
              <w:right w:val="single" w:sz="4" w:space="0" w:color="auto"/>
            </w:tcBorders>
            <w:shd w:val="clear" w:color="auto" w:fill="auto"/>
            <w:noWrap/>
            <w:vAlign w:val="bottom"/>
            <w:hideMark/>
          </w:tcPr>
          <w:p w14:paraId="0A0B4C68" w14:textId="77777777" w:rsidR="00866495" w:rsidRPr="00695835" w:rsidRDefault="00866495" w:rsidP="0070500D">
            <w:pPr>
              <w:rPr>
                <w:rFonts w:cs="Arial"/>
                <w:b/>
                <w:bCs/>
                <w:sz w:val="19"/>
                <w:szCs w:val="19"/>
              </w:rPr>
            </w:pPr>
            <w:r w:rsidRPr="00695835">
              <w:rPr>
                <w:rFonts w:cs="Arial"/>
                <w:b/>
                <w:bCs/>
                <w:sz w:val="19"/>
                <w:szCs w:val="19"/>
              </w:rPr>
              <w:t> </w:t>
            </w:r>
          </w:p>
        </w:tc>
        <w:tc>
          <w:tcPr>
            <w:tcW w:w="1469" w:type="dxa"/>
            <w:tcBorders>
              <w:top w:val="nil"/>
              <w:left w:val="nil"/>
              <w:bottom w:val="nil"/>
              <w:right w:val="single" w:sz="4" w:space="0" w:color="auto"/>
            </w:tcBorders>
            <w:shd w:val="clear" w:color="auto" w:fill="auto"/>
            <w:noWrap/>
            <w:vAlign w:val="bottom"/>
            <w:hideMark/>
          </w:tcPr>
          <w:p w14:paraId="6E7EF66A" w14:textId="77777777" w:rsidR="00866495" w:rsidRPr="00695835" w:rsidRDefault="00866495" w:rsidP="0070500D">
            <w:pPr>
              <w:jc w:val="right"/>
              <w:rPr>
                <w:rFonts w:cs="Arial"/>
                <w:b/>
                <w:bCs/>
                <w:sz w:val="19"/>
                <w:szCs w:val="19"/>
              </w:rPr>
            </w:pPr>
            <w:r w:rsidRPr="00695835">
              <w:rPr>
                <w:rFonts w:cs="Arial"/>
                <w:b/>
                <w:bCs/>
                <w:sz w:val="19"/>
                <w:szCs w:val="19"/>
              </w:rPr>
              <w:t>Draft</w:t>
            </w:r>
          </w:p>
        </w:tc>
        <w:tc>
          <w:tcPr>
            <w:tcW w:w="1398" w:type="dxa"/>
            <w:tcBorders>
              <w:top w:val="nil"/>
              <w:left w:val="nil"/>
              <w:bottom w:val="nil"/>
              <w:right w:val="single" w:sz="4" w:space="0" w:color="auto"/>
            </w:tcBorders>
            <w:shd w:val="clear" w:color="auto" w:fill="auto"/>
            <w:noWrap/>
            <w:vAlign w:val="bottom"/>
            <w:hideMark/>
          </w:tcPr>
          <w:p w14:paraId="17C02909" w14:textId="77777777" w:rsidR="00866495" w:rsidRPr="00695835" w:rsidRDefault="00866495" w:rsidP="0070500D">
            <w:pPr>
              <w:jc w:val="right"/>
              <w:rPr>
                <w:rFonts w:cs="Arial"/>
                <w:b/>
                <w:bCs/>
                <w:sz w:val="19"/>
                <w:szCs w:val="19"/>
              </w:rPr>
            </w:pPr>
            <w:r w:rsidRPr="00695835">
              <w:rPr>
                <w:rFonts w:cs="Arial"/>
                <w:b/>
                <w:bCs/>
                <w:sz w:val="19"/>
                <w:szCs w:val="19"/>
              </w:rPr>
              <w:t xml:space="preserve">Band "D" </w:t>
            </w:r>
          </w:p>
        </w:tc>
      </w:tr>
      <w:tr w:rsidR="00866495" w:rsidRPr="00695835" w14:paraId="33844C1E"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226FE432" w14:textId="77777777" w:rsidR="00866495" w:rsidRPr="00695835" w:rsidRDefault="00866495" w:rsidP="0070500D">
            <w:pPr>
              <w:jc w:val="right"/>
              <w:rPr>
                <w:rFonts w:cs="Arial"/>
                <w:b/>
                <w:bCs/>
                <w:sz w:val="19"/>
                <w:szCs w:val="19"/>
              </w:rPr>
            </w:pPr>
            <w:r w:rsidRPr="00695835">
              <w:rPr>
                <w:rFonts w:cs="Arial"/>
                <w:b/>
                <w:bCs/>
                <w:sz w:val="19"/>
                <w:szCs w:val="19"/>
              </w:rPr>
              <w:t>Budget</w:t>
            </w:r>
          </w:p>
        </w:tc>
        <w:tc>
          <w:tcPr>
            <w:tcW w:w="6817" w:type="dxa"/>
            <w:tcBorders>
              <w:top w:val="nil"/>
              <w:left w:val="nil"/>
              <w:bottom w:val="nil"/>
              <w:right w:val="single" w:sz="4" w:space="0" w:color="auto"/>
            </w:tcBorders>
            <w:shd w:val="clear" w:color="auto" w:fill="auto"/>
            <w:noWrap/>
            <w:vAlign w:val="bottom"/>
            <w:hideMark/>
          </w:tcPr>
          <w:p w14:paraId="399218F9" w14:textId="77777777" w:rsidR="00866495" w:rsidRPr="00695835" w:rsidRDefault="00866495" w:rsidP="0070500D">
            <w:pPr>
              <w:rPr>
                <w:rFonts w:cs="Arial"/>
                <w:b/>
                <w:bCs/>
                <w:sz w:val="19"/>
                <w:szCs w:val="19"/>
              </w:rPr>
            </w:pPr>
            <w:r w:rsidRPr="00695835">
              <w:rPr>
                <w:rFonts w:cs="Arial"/>
                <w:b/>
                <w:bCs/>
                <w:sz w:val="19"/>
                <w:szCs w:val="19"/>
              </w:rPr>
              <w:t> </w:t>
            </w:r>
          </w:p>
        </w:tc>
        <w:tc>
          <w:tcPr>
            <w:tcW w:w="1469" w:type="dxa"/>
            <w:tcBorders>
              <w:top w:val="nil"/>
              <w:left w:val="nil"/>
              <w:bottom w:val="nil"/>
              <w:right w:val="single" w:sz="4" w:space="0" w:color="auto"/>
            </w:tcBorders>
            <w:shd w:val="clear" w:color="auto" w:fill="auto"/>
            <w:noWrap/>
            <w:vAlign w:val="bottom"/>
            <w:hideMark/>
          </w:tcPr>
          <w:p w14:paraId="34D4D4E3" w14:textId="77777777" w:rsidR="00866495" w:rsidRPr="00695835" w:rsidRDefault="00866495" w:rsidP="0070500D">
            <w:pPr>
              <w:jc w:val="right"/>
              <w:rPr>
                <w:rFonts w:cs="Arial"/>
                <w:b/>
                <w:bCs/>
                <w:sz w:val="19"/>
                <w:szCs w:val="19"/>
              </w:rPr>
            </w:pPr>
            <w:r w:rsidRPr="00695835">
              <w:rPr>
                <w:rFonts w:cs="Arial"/>
                <w:b/>
                <w:bCs/>
                <w:sz w:val="19"/>
                <w:szCs w:val="19"/>
              </w:rPr>
              <w:t>Budget</w:t>
            </w:r>
          </w:p>
        </w:tc>
        <w:tc>
          <w:tcPr>
            <w:tcW w:w="1398" w:type="dxa"/>
            <w:tcBorders>
              <w:top w:val="nil"/>
              <w:left w:val="nil"/>
              <w:bottom w:val="nil"/>
              <w:right w:val="single" w:sz="4" w:space="0" w:color="auto"/>
            </w:tcBorders>
            <w:shd w:val="clear" w:color="auto" w:fill="auto"/>
            <w:noWrap/>
            <w:vAlign w:val="bottom"/>
            <w:hideMark/>
          </w:tcPr>
          <w:p w14:paraId="63F7C66E" w14:textId="77777777" w:rsidR="00866495" w:rsidRPr="00695835" w:rsidRDefault="00866495" w:rsidP="0070500D">
            <w:pPr>
              <w:jc w:val="right"/>
              <w:rPr>
                <w:rFonts w:cs="Arial"/>
                <w:b/>
                <w:bCs/>
                <w:sz w:val="19"/>
                <w:szCs w:val="19"/>
              </w:rPr>
            </w:pPr>
            <w:r w:rsidRPr="00695835">
              <w:rPr>
                <w:rFonts w:cs="Arial"/>
                <w:b/>
                <w:bCs/>
                <w:sz w:val="19"/>
                <w:szCs w:val="19"/>
              </w:rPr>
              <w:t>Equivalent</w:t>
            </w:r>
          </w:p>
        </w:tc>
      </w:tr>
      <w:tr w:rsidR="00866495" w:rsidRPr="00695835" w14:paraId="37464868"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7568F2C9" w14:textId="77777777" w:rsidR="00866495" w:rsidRPr="00695835" w:rsidRDefault="00866495" w:rsidP="0070500D">
            <w:pPr>
              <w:jc w:val="right"/>
              <w:rPr>
                <w:rFonts w:cs="Arial"/>
                <w:sz w:val="19"/>
                <w:szCs w:val="19"/>
              </w:rPr>
            </w:pPr>
            <w:r w:rsidRPr="00695835">
              <w:rPr>
                <w:rFonts w:cs="Arial"/>
                <w:sz w:val="19"/>
                <w:szCs w:val="19"/>
              </w:rPr>
              <w:t>£'000</w:t>
            </w:r>
          </w:p>
        </w:tc>
        <w:tc>
          <w:tcPr>
            <w:tcW w:w="6817" w:type="dxa"/>
            <w:tcBorders>
              <w:top w:val="nil"/>
              <w:left w:val="nil"/>
              <w:bottom w:val="nil"/>
              <w:right w:val="single" w:sz="4" w:space="0" w:color="auto"/>
            </w:tcBorders>
            <w:shd w:val="clear" w:color="auto" w:fill="auto"/>
            <w:noWrap/>
            <w:vAlign w:val="bottom"/>
            <w:hideMark/>
          </w:tcPr>
          <w:p w14:paraId="56370BB2" w14:textId="77777777" w:rsidR="00866495" w:rsidRPr="00695835" w:rsidRDefault="00866495" w:rsidP="0070500D">
            <w:pPr>
              <w:rPr>
                <w:rFonts w:cs="Arial"/>
                <w:sz w:val="19"/>
                <w:szCs w:val="19"/>
              </w:rPr>
            </w:pPr>
            <w:r w:rsidRPr="00695835">
              <w:rPr>
                <w:rFonts w:cs="Arial"/>
                <w:sz w:val="19"/>
                <w:szCs w:val="19"/>
              </w:rPr>
              <w:t> </w:t>
            </w:r>
          </w:p>
        </w:tc>
        <w:tc>
          <w:tcPr>
            <w:tcW w:w="1469" w:type="dxa"/>
            <w:tcBorders>
              <w:top w:val="nil"/>
              <w:left w:val="nil"/>
              <w:bottom w:val="nil"/>
              <w:right w:val="single" w:sz="4" w:space="0" w:color="auto"/>
            </w:tcBorders>
            <w:shd w:val="clear" w:color="auto" w:fill="auto"/>
            <w:noWrap/>
            <w:vAlign w:val="bottom"/>
            <w:hideMark/>
          </w:tcPr>
          <w:p w14:paraId="18C87D1D" w14:textId="77777777" w:rsidR="00866495" w:rsidRPr="00695835" w:rsidRDefault="00866495" w:rsidP="0070500D">
            <w:pPr>
              <w:jc w:val="right"/>
              <w:rPr>
                <w:rFonts w:cs="Arial"/>
                <w:sz w:val="19"/>
                <w:szCs w:val="19"/>
              </w:rPr>
            </w:pPr>
            <w:r w:rsidRPr="00695835">
              <w:rPr>
                <w:rFonts w:cs="Arial"/>
                <w:sz w:val="19"/>
                <w:szCs w:val="19"/>
              </w:rPr>
              <w:t>£'000</w:t>
            </w:r>
          </w:p>
        </w:tc>
        <w:tc>
          <w:tcPr>
            <w:tcW w:w="1398" w:type="dxa"/>
            <w:tcBorders>
              <w:top w:val="nil"/>
              <w:left w:val="nil"/>
              <w:bottom w:val="nil"/>
              <w:right w:val="single" w:sz="4" w:space="0" w:color="auto"/>
            </w:tcBorders>
            <w:shd w:val="clear" w:color="auto" w:fill="auto"/>
            <w:noWrap/>
            <w:vAlign w:val="bottom"/>
            <w:hideMark/>
          </w:tcPr>
          <w:p w14:paraId="5E748605" w14:textId="77777777" w:rsidR="00866495" w:rsidRPr="00695835" w:rsidRDefault="00866495" w:rsidP="0070500D">
            <w:pPr>
              <w:jc w:val="right"/>
              <w:rPr>
                <w:rFonts w:cs="Arial"/>
                <w:sz w:val="19"/>
                <w:szCs w:val="19"/>
              </w:rPr>
            </w:pPr>
            <w:r w:rsidRPr="00695835">
              <w:rPr>
                <w:rFonts w:cs="Arial"/>
                <w:sz w:val="19"/>
                <w:szCs w:val="19"/>
              </w:rPr>
              <w:t>£</w:t>
            </w:r>
          </w:p>
        </w:tc>
      </w:tr>
      <w:tr w:rsidR="00866495" w:rsidRPr="00695835" w14:paraId="563A4899"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1E54886A" w14:textId="77777777" w:rsidR="00866495" w:rsidRPr="00695835" w:rsidRDefault="00866495" w:rsidP="0070500D">
            <w:pPr>
              <w:jc w:val="right"/>
              <w:rPr>
                <w:rFonts w:cs="Arial"/>
                <w:sz w:val="19"/>
                <w:szCs w:val="19"/>
              </w:rPr>
            </w:pPr>
            <w:r w:rsidRPr="00695835">
              <w:rPr>
                <w:rFonts w:cs="Arial"/>
                <w:sz w:val="19"/>
                <w:szCs w:val="19"/>
              </w:rPr>
              <w:t>129,344</w:t>
            </w:r>
          </w:p>
        </w:tc>
        <w:tc>
          <w:tcPr>
            <w:tcW w:w="6817" w:type="dxa"/>
            <w:tcBorders>
              <w:top w:val="nil"/>
              <w:left w:val="nil"/>
              <w:bottom w:val="nil"/>
              <w:right w:val="single" w:sz="4" w:space="0" w:color="auto"/>
            </w:tcBorders>
            <w:shd w:val="clear" w:color="auto" w:fill="auto"/>
            <w:noWrap/>
            <w:vAlign w:val="bottom"/>
            <w:hideMark/>
          </w:tcPr>
          <w:p w14:paraId="2C01FAB0" w14:textId="77777777" w:rsidR="00866495" w:rsidRPr="00695835" w:rsidRDefault="00866495" w:rsidP="0070500D">
            <w:pPr>
              <w:rPr>
                <w:rFonts w:cs="Arial"/>
                <w:sz w:val="19"/>
                <w:szCs w:val="19"/>
              </w:rPr>
            </w:pPr>
            <w:r w:rsidRPr="00695835">
              <w:rPr>
                <w:rFonts w:cs="Arial"/>
                <w:sz w:val="19"/>
                <w:szCs w:val="19"/>
              </w:rPr>
              <w:t>Education</w:t>
            </w:r>
          </w:p>
        </w:tc>
        <w:tc>
          <w:tcPr>
            <w:tcW w:w="1469" w:type="dxa"/>
            <w:tcBorders>
              <w:top w:val="nil"/>
              <w:left w:val="nil"/>
              <w:bottom w:val="nil"/>
              <w:right w:val="single" w:sz="4" w:space="0" w:color="auto"/>
            </w:tcBorders>
            <w:shd w:val="clear" w:color="auto" w:fill="auto"/>
            <w:noWrap/>
            <w:vAlign w:val="bottom"/>
            <w:hideMark/>
          </w:tcPr>
          <w:p w14:paraId="62FB03E8" w14:textId="77777777" w:rsidR="00866495" w:rsidRPr="00695835" w:rsidRDefault="00866495" w:rsidP="0070500D">
            <w:pPr>
              <w:jc w:val="right"/>
              <w:rPr>
                <w:rFonts w:cs="Arial"/>
                <w:sz w:val="19"/>
                <w:szCs w:val="19"/>
              </w:rPr>
            </w:pPr>
            <w:r w:rsidRPr="00695835">
              <w:rPr>
                <w:rFonts w:cs="Arial"/>
                <w:sz w:val="19"/>
                <w:szCs w:val="19"/>
              </w:rPr>
              <w:t>154,243</w:t>
            </w:r>
          </w:p>
        </w:tc>
        <w:tc>
          <w:tcPr>
            <w:tcW w:w="1398" w:type="dxa"/>
            <w:tcBorders>
              <w:top w:val="nil"/>
              <w:left w:val="nil"/>
              <w:bottom w:val="nil"/>
              <w:right w:val="single" w:sz="4" w:space="0" w:color="auto"/>
            </w:tcBorders>
            <w:shd w:val="clear" w:color="auto" w:fill="auto"/>
            <w:noWrap/>
            <w:vAlign w:val="bottom"/>
            <w:hideMark/>
          </w:tcPr>
          <w:p w14:paraId="52D1D08B" w14:textId="77777777" w:rsidR="00866495" w:rsidRPr="00695835" w:rsidRDefault="00866495" w:rsidP="0070500D">
            <w:pPr>
              <w:jc w:val="right"/>
              <w:rPr>
                <w:rFonts w:cs="Arial"/>
                <w:sz w:val="19"/>
                <w:szCs w:val="19"/>
              </w:rPr>
            </w:pPr>
            <w:r w:rsidRPr="00695835">
              <w:rPr>
                <w:rFonts w:cs="Arial"/>
                <w:sz w:val="19"/>
                <w:szCs w:val="19"/>
              </w:rPr>
              <w:t>1,121.85</w:t>
            </w:r>
          </w:p>
        </w:tc>
      </w:tr>
      <w:tr w:rsidR="00866495" w:rsidRPr="00695835" w14:paraId="6A3CA0CD" w14:textId="77777777" w:rsidTr="0070500D">
        <w:trPr>
          <w:trHeight w:val="256"/>
        </w:trPr>
        <w:tc>
          <w:tcPr>
            <w:tcW w:w="1490" w:type="dxa"/>
            <w:tcBorders>
              <w:top w:val="nil"/>
              <w:left w:val="single" w:sz="4" w:space="0" w:color="auto"/>
              <w:bottom w:val="dotted" w:sz="4" w:space="0" w:color="auto"/>
              <w:right w:val="single" w:sz="4" w:space="0" w:color="auto"/>
            </w:tcBorders>
            <w:shd w:val="clear" w:color="auto" w:fill="auto"/>
            <w:noWrap/>
            <w:vAlign w:val="bottom"/>
            <w:hideMark/>
          </w:tcPr>
          <w:p w14:paraId="15000933" w14:textId="77777777" w:rsidR="00866495" w:rsidRPr="00695835" w:rsidRDefault="00866495" w:rsidP="0070500D">
            <w:pPr>
              <w:jc w:val="right"/>
              <w:rPr>
                <w:rFonts w:cs="Arial"/>
                <w:sz w:val="19"/>
                <w:szCs w:val="19"/>
              </w:rPr>
            </w:pPr>
            <w:r w:rsidRPr="00695835">
              <w:rPr>
                <w:rFonts w:cs="Arial"/>
                <w:sz w:val="19"/>
                <w:szCs w:val="19"/>
              </w:rPr>
              <w:t>Cr     116,453</w:t>
            </w:r>
          </w:p>
        </w:tc>
        <w:tc>
          <w:tcPr>
            <w:tcW w:w="6817" w:type="dxa"/>
            <w:tcBorders>
              <w:top w:val="nil"/>
              <w:left w:val="nil"/>
              <w:bottom w:val="nil"/>
              <w:right w:val="single" w:sz="4" w:space="0" w:color="auto"/>
            </w:tcBorders>
            <w:shd w:val="clear" w:color="auto" w:fill="auto"/>
            <w:noWrap/>
            <w:vAlign w:val="bottom"/>
            <w:hideMark/>
          </w:tcPr>
          <w:p w14:paraId="3D6DA76B" w14:textId="77777777" w:rsidR="00866495" w:rsidRPr="00695835" w:rsidRDefault="00866495" w:rsidP="0070500D">
            <w:pPr>
              <w:rPr>
                <w:rFonts w:cs="Arial"/>
                <w:sz w:val="19"/>
                <w:szCs w:val="19"/>
              </w:rPr>
            </w:pPr>
            <w:r w:rsidRPr="00695835">
              <w:rPr>
                <w:rFonts w:cs="Arial"/>
                <w:sz w:val="19"/>
                <w:szCs w:val="19"/>
              </w:rPr>
              <w:t>Less costs funded through Dedicated Schools Grant *</w:t>
            </w:r>
          </w:p>
        </w:tc>
        <w:tc>
          <w:tcPr>
            <w:tcW w:w="1469" w:type="dxa"/>
            <w:tcBorders>
              <w:top w:val="nil"/>
              <w:left w:val="nil"/>
              <w:bottom w:val="dotted" w:sz="4" w:space="0" w:color="auto"/>
              <w:right w:val="single" w:sz="4" w:space="0" w:color="auto"/>
            </w:tcBorders>
            <w:shd w:val="clear" w:color="auto" w:fill="auto"/>
            <w:noWrap/>
            <w:vAlign w:val="bottom"/>
            <w:hideMark/>
          </w:tcPr>
          <w:p w14:paraId="32BC8F0F" w14:textId="77777777" w:rsidR="00866495" w:rsidRPr="00695835" w:rsidRDefault="00866495" w:rsidP="0070500D">
            <w:pPr>
              <w:jc w:val="right"/>
              <w:rPr>
                <w:rFonts w:cs="Arial"/>
                <w:sz w:val="19"/>
                <w:szCs w:val="19"/>
              </w:rPr>
            </w:pPr>
            <w:r w:rsidRPr="00695835">
              <w:rPr>
                <w:rFonts w:cs="Arial"/>
                <w:sz w:val="19"/>
                <w:szCs w:val="19"/>
              </w:rPr>
              <w:t>Cr     138,800</w:t>
            </w:r>
          </w:p>
        </w:tc>
        <w:tc>
          <w:tcPr>
            <w:tcW w:w="1398" w:type="dxa"/>
            <w:tcBorders>
              <w:top w:val="nil"/>
              <w:left w:val="nil"/>
              <w:bottom w:val="dotted" w:sz="4" w:space="0" w:color="auto"/>
              <w:right w:val="single" w:sz="4" w:space="0" w:color="auto"/>
            </w:tcBorders>
            <w:shd w:val="clear" w:color="auto" w:fill="auto"/>
            <w:noWrap/>
            <w:vAlign w:val="bottom"/>
            <w:hideMark/>
          </w:tcPr>
          <w:p w14:paraId="06C90E77" w14:textId="77777777" w:rsidR="00866495" w:rsidRPr="00695835" w:rsidRDefault="00866495" w:rsidP="0070500D">
            <w:pPr>
              <w:jc w:val="right"/>
              <w:rPr>
                <w:rFonts w:cs="Arial"/>
                <w:sz w:val="19"/>
                <w:szCs w:val="19"/>
              </w:rPr>
            </w:pPr>
            <w:r w:rsidRPr="00695835">
              <w:rPr>
                <w:rFonts w:cs="Arial"/>
                <w:sz w:val="19"/>
                <w:szCs w:val="19"/>
              </w:rPr>
              <w:t>-1,009.53</w:t>
            </w:r>
          </w:p>
        </w:tc>
      </w:tr>
      <w:tr w:rsidR="00866495" w:rsidRPr="00695835" w14:paraId="7B3D36F3"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32F1D3CE" w14:textId="77777777" w:rsidR="00866495" w:rsidRPr="00695835" w:rsidRDefault="00866495" w:rsidP="0070500D">
            <w:pPr>
              <w:jc w:val="right"/>
              <w:rPr>
                <w:rFonts w:cs="Arial"/>
                <w:b/>
                <w:bCs/>
                <w:sz w:val="19"/>
                <w:szCs w:val="19"/>
              </w:rPr>
            </w:pPr>
            <w:r w:rsidRPr="00695835">
              <w:rPr>
                <w:rFonts w:cs="Arial"/>
                <w:b/>
                <w:bCs/>
                <w:sz w:val="19"/>
                <w:szCs w:val="19"/>
              </w:rPr>
              <w:t>12,891</w:t>
            </w:r>
          </w:p>
        </w:tc>
        <w:tc>
          <w:tcPr>
            <w:tcW w:w="6817" w:type="dxa"/>
            <w:tcBorders>
              <w:top w:val="nil"/>
              <w:left w:val="nil"/>
              <w:bottom w:val="nil"/>
              <w:right w:val="single" w:sz="4" w:space="0" w:color="auto"/>
            </w:tcBorders>
            <w:shd w:val="clear" w:color="auto" w:fill="auto"/>
            <w:noWrap/>
            <w:vAlign w:val="bottom"/>
            <w:hideMark/>
          </w:tcPr>
          <w:p w14:paraId="02575EEE" w14:textId="77777777" w:rsidR="00866495" w:rsidRPr="00695835" w:rsidRDefault="00866495" w:rsidP="0070500D">
            <w:pPr>
              <w:rPr>
                <w:rFonts w:cs="Arial"/>
                <w:b/>
                <w:bCs/>
                <w:sz w:val="19"/>
                <w:szCs w:val="19"/>
              </w:rPr>
            </w:pPr>
            <w:r w:rsidRPr="00695835">
              <w:rPr>
                <w:rFonts w:cs="Arial"/>
                <w:b/>
                <w:bCs/>
                <w:sz w:val="19"/>
                <w:szCs w:val="19"/>
              </w:rPr>
              <w:t xml:space="preserve">Sub total </w:t>
            </w:r>
          </w:p>
        </w:tc>
        <w:tc>
          <w:tcPr>
            <w:tcW w:w="1469" w:type="dxa"/>
            <w:tcBorders>
              <w:top w:val="nil"/>
              <w:left w:val="nil"/>
              <w:bottom w:val="nil"/>
              <w:right w:val="single" w:sz="4" w:space="0" w:color="auto"/>
            </w:tcBorders>
            <w:shd w:val="clear" w:color="auto" w:fill="auto"/>
            <w:noWrap/>
            <w:vAlign w:val="bottom"/>
            <w:hideMark/>
          </w:tcPr>
          <w:p w14:paraId="6CE182CF" w14:textId="77777777" w:rsidR="00866495" w:rsidRPr="00695835" w:rsidRDefault="00866495" w:rsidP="0070500D">
            <w:pPr>
              <w:jc w:val="right"/>
              <w:rPr>
                <w:rFonts w:cs="Arial"/>
                <w:b/>
                <w:bCs/>
                <w:sz w:val="19"/>
                <w:szCs w:val="19"/>
              </w:rPr>
            </w:pPr>
            <w:r w:rsidRPr="00695835">
              <w:rPr>
                <w:rFonts w:cs="Arial"/>
                <w:b/>
                <w:bCs/>
                <w:sz w:val="19"/>
                <w:szCs w:val="19"/>
              </w:rPr>
              <w:t>15,443</w:t>
            </w:r>
          </w:p>
        </w:tc>
        <w:tc>
          <w:tcPr>
            <w:tcW w:w="1398" w:type="dxa"/>
            <w:tcBorders>
              <w:top w:val="nil"/>
              <w:left w:val="nil"/>
              <w:bottom w:val="nil"/>
              <w:right w:val="single" w:sz="4" w:space="0" w:color="auto"/>
            </w:tcBorders>
            <w:shd w:val="clear" w:color="auto" w:fill="auto"/>
            <w:noWrap/>
            <w:vAlign w:val="bottom"/>
            <w:hideMark/>
          </w:tcPr>
          <w:p w14:paraId="226441CE" w14:textId="77777777" w:rsidR="00866495" w:rsidRPr="00695835" w:rsidRDefault="00866495" w:rsidP="0070500D">
            <w:pPr>
              <w:jc w:val="right"/>
              <w:rPr>
                <w:rFonts w:cs="Arial"/>
                <w:b/>
                <w:bCs/>
                <w:sz w:val="19"/>
                <w:szCs w:val="19"/>
              </w:rPr>
            </w:pPr>
            <w:r w:rsidRPr="00695835">
              <w:rPr>
                <w:rFonts w:cs="Arial"/>
                <w:b/>
                <w:bCs/>
                <w:sz w:val="19"/>
                <w:szCs w:val="19"/>
              </w:rPr>
              <w:t>112.32</w:t>
            </w:r>
          </w:p>
        </w:tc>
      </w:tr>
      <w:tr w:rsidR="00866495" w:rsidRPr="00695835" w14:paraId="2324946B"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7672148A" w14:textId="77777777" w:rsidR="00866495" w:rsidRPr="00695835" w:rsidRDefault="00866495" w:rsidP="0070500D">
            <w:pPr>
              <w:jc w:val="right"/>
              <w:rPr>
                <w:rFonts w:cs="Arial"/>
                <w:sz w:val="19"/>
                <w:szCs w:val="19"/>
              </w:rPr>
            </w:pPr>
            <w:r w:rsidRPr="00695835">
              <w:rPr>
                <w:rFonts w:cs="Arial"/>
                <w:sz w:val="19"/>
                <w:szCs w:val="19"/>
              </w:rPr>
              <w:t> </w:t>
            </w:r>
          </w:p>
        </w:tc>
        <w:tc>
          <w:tcPr>
            <w:tcW w:w="6817" w:type="dxa"/>
            <w:tcBorders>
              <w:top w:val="nil"/>
              <w:left w:val="nil"/>
              <w:bottom w:val="nil"/>
              <w:right w:val="single" w:sz="4" w:space="0" w:color="auto"/>
            </w:tcBorders>
            <w:shd w:val="clear" w:color="auto" w:fill="auto"/>
            <w:noWrap/>
            <w:vAlign w:val="bottom"/>
            <w:hideMark/>
          </w:tcPr>
          <w:p w14:paraId="118AF38A" w14:textId="77777777" w:rsidR="00866495" w:rsidRPr="00695835" w:rsidRDefault="00866495" w:rsidP="0070500D">
            <w:pPr>
              <w:rPr>
                <w:rFonts w:cs="Arial"/>
                <w:sz w:val="19"/>
                <w:szCs w:val="19"/>
              </w:rPr>
            </w:pPr>
            <w:r w:rsidRPr="00695835">
              <w:rPr>
                <w:rFonts w:cs="Arial"/>
                <w:sz w:val="19"/>
                <w:szCs w:val="19"/>
              </w:rPr>
              <w:t> </w:t>
            </w:r>
          </w:p>
        </w:tc>
        <w:tc>
          <w:tcPr>
            <w:tcW w:w="1469" w:type="dxa"/>
            <w:tcBorders>
              <w:top w:val="nil"/>
              <w:left w:val="nil"/>
              <w:bottom w:val="nil"/>
              <w:right w:val="single" w:sz="4" w:space="0" w:color="auto"/>
            </w:tcBorders>
            <w:shd w:val="clear" w:color="auto" w:fill="auto"/>
            <w:noWrap/>
            <w:vAlign w:val="bottom"/>
            <w:hideMark/>
          </w:tcPr>
          <w:p w14:paraId="1AAD9CEC" w14:textId="77777777" w:rsidR="00866495" w:rsidRPr="00695835" w:rsidRDefault="00866495" w:rsidP="0070500D">
            <w:pPr>
              <w:jc w:val="right"/>
              <w:rPr>
                <w:rFonts w:cs="Arial"/>
                <w:sz w:val="19"/>
                <w:szCs w:val="19"/>
              </w:rPr>
            </w:pPr>
            <w:r w:rsidRPr="00695835">
              <w:rPr>
                <w:rFonts w:cs="Arial"/>
                <w:sz w:val="19"/>
                <w:szCs w:val="19"/>
              </w:rPr>
              <w:t> </w:t>
            </w:r>
          </w:p>
        </w:tc>
        <w:tc>
          <w:tcPr>
            <w:tcW w:w="1398" w:type="dxa"/>
            <w:tcBorders>
              <w:top w:val="nil"/>
              <w:left w:val="nil"/>
              <w:bottom w:val="nil"/>
              <w:right w:val="single" w:sz="4" w:space="0" w:color="auto"/>
            </w:tcBorders>
            <w:shd w:val="clear" w:color="auto" w:fill="auto"/>
            <w:noWrap/>
            <w:vAlign w:val="bottom"/>
            <w:hideMark/>
          </w:tcPr>
          <w:p w14:paraId="1169CE86" w14:textId="77777777" w:rsidR="00866495" w:rsidRPr="00695835" w:rsidRDefault="00866495" w:rsidP="0070500D">
            <w:pPr>
              <w:jc w:val="right"/>
              <w:rPr>
                <w:rFonts w:cs="Arial"/>
                <w:sz w:val="19"/>
                <w:szCs w:val="19"/>
              </w:rPr>
            </w:pPr>
            <w:r w:rsidRPr="00695835">
              <w:rPr>
                <w:rFonts w:cs="Arial"/>
                <w:sz w:val="19"/>
                <w:szCs w:val="19"/>
              </w:rPr>
              <w:t> </w:t>
            </w:r>
          </w:p>
        </w:tc>
      </w:tr>
      <w:tr w:rsidR="00866495" w:rsidRPr="00695835" w14:paraId="2DA9C633"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4D5E8704" w14:textId="77777777" w:rsidR="00866495" w:rsidRPr="00695835" w:rsidRDefault="00866495" w:rsidP="0070500D">
            <w:pPr>
              <w:jc w:val="right"/>
              <w:rPr>
                <w:rFonts w:cs="Arial"/>
                <w:sz w:val="19"/>
                <w:szCs w:val="19"/>
              </w:rPr>
            </w:pPr>
            <w:r w:rsidRPr="00695835">
              <w:rPr>
                <w:rFonts w:cs="Arial"/>
                <w:sz w:val="19"/>
                <w:szCs w:val="19"/>
              </w:rPr>
              <w:t>53,771</w:t>
            </w:r>
          </w:p>
        </w:tc>
        <w:tc>
          <w:tcPr>
            <w:tcW w:w="6817" w:type="dxa"/>
            <w:tcBorders>
              <w:top w:val="nil"/>
              <w:left w:val="nil"/>
              <w:bottom w:val="nil"/>
              <w:right w:val="single" w:sz="4" w:space="0" w:color="auto"/>
            </w:tcBorders>
            <w:shd w:val="clear" w:color="auto" w:fill="auto"/>
            <w:noWrap/>
            <w:vAlign w:val="bottom"/>
            <w:hideMark/>
          </w:tcPr>
          <w:p w14:paraId="3E6E7C7F" w14:textId="77777777" w:rsidR="00866495" w:rsidRPr="00695835" w:rsidRDefault="00866495" w:rsidP="0070500D">
            <w:pPr>
              <w:rPr>
                <w:rFonts w:cs="Arial"/>
                <w:sz w:val="19"/>
                <w:szCs w:val="19"/>
              </w:rPr>
            </w:pPr>
            <w:r w:rsidRPr="00695835">
              <w:rPr>
                <w:rFonts w:cs="Arial"/>
                <w:sz w:val="19"/>
                <w:szCs w:val="19"/>
              </w:rPr>
              <w:t>Childrens Social Care</w:t>
            </w:r>
          </w:p>
        </w:tc>
        <w:tc>
          <w:tcPr>
            <w:tcW w:w="1469" w:type="dxa"/>
            <w:tcBorders>
              <w:top w:val="nil"/>
              <w:left w:val="nil"/>
              <w:bottom w:val="nil"/>
              <w:right w:val="single" w:sz="4" w:space="0" w:color="auto"/>
            </w:tcBorders>
            <w:shd w:val="clear" w:color="auto" w:fill="auto"/>
            <w:noWrap/>
            <w:vAlign w:val="bottom"/>
            <w:hideMark/>
          </w:tcPr>
          <w:p w14:paraId="2FAAD806" w14:textId="77777777" w:rsidR="00866495" w:rsidRPr="00695835" w:rsidRDefault="00866495" w:rsidP="0070500D">
            <w:pPr>
              <w:jc w:val="right"/>
              <w:rPr>
                <w:rFonts w:cs="Arial"/>
                <w:sz w:val="19"/>
                <w:szCs w:val="19"/>
              </w:rPr>
            </w:pPr>
            <w:r w:rsidRPr="00695835">
              <w:rPr>
                <w:rFonts w:cs="Arial"/>
                <w:sz w:val="19"/>
                <w:szCs w:val="19"/>
              </w:rPr>
              <w:t>61,202</w:t>
            </w:r>
          </w:p>
        </w:tc>
        <w:tc>
          <w:tcPr>
            <w:tcW w:w="1398" w:type="dxa"/>
            <w:tcBorders>
              <w:top w:val="nil"/>
              <w:left w:val="nil"/>
              <w:bottom w:val="nil"/>
              <w:right w:val="single" w:sz="4" w:space="0" w:color="auto"/>
            </w:tcBorders>
            <w:shd w:val="clear" w:color="auto" w:fill="auto"/>
            <w:noWrap/>
            <w:vAlign w:val="bottom"/>
            <w:hideMark/>
          </w:tcPr>
          <w:p w14:paraId="482E2762" w14:textId="77777777" w:rsidR="00866495" w:rsidRPr="00695835" w:rsidRDefault="00866495" w:rsidP="0070500D">
            <w:pPr>
              <w:jc w:val="right"/>
              <w:rPr>
                <w:rFonts w:cs="Arial"/>
                <w:sz w:val="19"/>
                <w:szCs w:val="19"/>
              </w:rPr>
            </w:pPr>
            <w:r w:rsidRPr="00695835">
              <w:rPr>
                <w:rFonts w:cs="Arial"/>
                <w:sz w:val="19"/>
                <w:szCs w:val="19"/>
              </w:rPr>
              <w:t>445.14</w:t>
            </w:r>
          </w:p>
        </w:tc>
      </w:tr>
      <w:tr w:rsidR="00866495" w:rsidRPr="00695835" w14:paraId="2074EE72"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65256612" w14:textId="77777777" w:rsidR="00866495" w:rsidRPr="00695835" w:rsidRDefault="00866495" w:rsidP="0070500D">
            <w:pPr>
              <w:jc w:val="right"/>
              <w:rPr>
                <w:rFonts w:cs="Arial"/>
                <w:sz w:val="19"/>
                <w:szCs w:val="19"/>
              </w:rPr>
            </w:pPr>
            <w:r w:rsidRPr="00695835">
              <w:rPr>
                <w:rFonts w:cs="Arial"/>
                <w:sz w:val="19"/>
                <w:szCs w:val="19"/>
              </w:rPr>
              <w:t>90,777</w:t>
            </w:r>
          </w:p>
        </w:tc>
        <w:tc>
          <w:tcPr>
            <w:tcW w:w="6817" w:type="dxa"/>
            <w:tcBorders>
              <w:top w:val="nil"/>
              <w:left w:val="nil"/>
              <w:bottom w:val="nil"/>
              <w:right w:val="single" w:sz="4" w:space="0" w:color="auto"/>
            </w:tcBorders>
            <w:shd w:val="clear" w:color="auto" w:fill="auto"/>
            <w:noWrap/>
            <w:vAlign w:val="bottom"/>
            <w:hideMark/>
          </w:tcPr>
          <w:p w14:paraId="66C9AEAE" w14:textId="77777777" w:rsidR="00866495" w:rsidRPr="00695835" w:rsidRDefault="00866495" w:rsidP="0070500D">
            <w:pPr>
              <w:rPr>
                <w:rFonts w:cs="Arial"/>
                <w:sz w:val="19"/>
                <w:szCs w:val="19"/>
              </w:rPr>
            </w:pPr>
            <w:r w:rsidRPr="00695835">
              <w:rPr>
                <w:rFonts w:cs="Arial"/>
                <w:sz w:val="19"/>
                <w:szCs w:val="19"/>
              </w:rPr>
              <w:t>Adult Care and Health</w:t>
            </w:r>
          </w:p>
        </w:tc>
        <w:tc>
          <w:tcPr>
            <w:tcW w:w="1469" w:type="dxa"/>
            <w:tcBorders>
              <w:top w:val="nil"/>
              <w:left w:val="nil"/>
              <w:bottom w:val="nil"/>
              <w:right w:val="single" w:sz="4" w:space="0" w:color="auto"/>
            </w:tcBorders>
            <w:shd w:val="clear" w:color="auto" w:fill="auto"/>
            <w:noWrap/>
            <w:vAlign w:val="bottom"/>
            <w:hideMark/>
          </w:tcPr>
          <w:p w14:paraId="623F49DC" w14:textId="77777777" w:rsidR="00866495" w:rsidRPr="00695835" w:rsidRDefault="00866495" w:rsidP="0070500D">
            <w:pPr>
              <w:jc w:val="right"/>
              <w:rPr>
                <w:rFonts w:cs="Arial"/>
                <w:sz w:val="19"/>
                <w:szCs w:val="19"/>
              </w:rPr>
            </w:pPr>
            <w:r w:rsidRPr="00695835">
              <w:rPr>
                <w:rFonts w:cs="Arial"/>
                <w:sz w:val="19"/>
                <w:szCs w:val="19"/>
              </w:rPr>
              <w:t>94,443</w:t>
            </w:r>
          </w:p>
        </w:tc>
        <w:tc>
          <w:tcPr>
            <w:tcW w:w="1398" w:type="dxa"/>
            <w:tcBorders>
              <w:top w:val="nil"/>
              <w:left w:val="nil"/>
              <w:bottom w:val="nil"/>
              <w:right w:val="single" w:sz="4" w:space="0" w:color="auto"/>
            </w:tcBorders>
            <w:shd w:val="clear" w:color="auto" w:fill="auto"/>
            <w:noWrap/>
            <w:vAlign w:val="bottom"/>
            <w:hideMark/>
          </w:tcPr>
          <w:p w14:paraId="31017868" w14:textId="77777777" w:rsidR="00866495" w:rsidRPr="00695835" w:rsidRDefault="00866495" w:rsidP="0070500D">
            <w:pPr>
              <w:jc w:val="right"/>
              <w:rPr>
                <w:rFonts w:cs="Arial"/>
                <w:sz w:val="19"/>
                <w:szCs w:val="19"/>
              </w:rPr>
            </w:pPr>
            <w:r w:rsidRPr="00695835">
              <w:rPr>
                <w:rFonts w:cs="Arial"/>
                <w:sz w:val="19"/>
                <w:szCs w:val="19"/>
              </w:rPr>
              <w:t>686.91</w:t>
            </w:r>
          </w:p>
        </w:tc>
      </w:tr>
      <w:tr w:rsidR="00866495" w:rsidRPr="00695835" w14:paraId="6226F6A3"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40EC5BE3" w14:textId="77777777" w:rsidR="00866495" w:rsidRPr="00695835" w:rsidRDefault="00866495" w:rsidP="0070500D">
            <w:pPr>
              <w:jc w:val="right"/>
              <w:rPr>
                <w:rFonts w:cs="Arial"/>
                <w:sz w:val="19"/>
                <w:szCs w:val="19"/>
              </w:rPr>
            </w:pPr>
            <w:r w:rsidRPr="00695835">
              <w:rPr>
                <w:rFonts w:cs="Arial"/>
                <w:sz w:val="19"/>
                <w:szCs w:val="19"/>
              </w:rPr>
              <w:t>40,631</w:t>
            </w:r>
          </w:p>
        </w:tc>
        <w:tc>
          <w:tcPr>
            <w:tcW w:w="6817" w:type="dxa"/>
            <w:tcBorders>
              <w:top w:val="nil"/>
              <w:left w:val="nil"/>
              <w:bottom w:val="nil"/>
              <w:right w:val="single" w:sz="4" w:space="0" w:color="auto"/>
            </w:tcBorders>
            <w:shd w:val="clear" w:color="auto" w:fill="auto"/>
            <w:noWrap/>
            <w:vAlign w:val="bottom"/>
            <w:hideMark/>
          </w:tcPr>
          <w:p w14:paraId="468DF073" w14:textId="77777777" w:rsidR="00866495" w:rsidRPr="00695835" w:rsidRDefault="00866495" w:rsidP="0070500D">
            <w:pPr>
              <w:rPr>
                <w:rFonts w:cs="Arial"/>
                <w:sz w:val="19"/>
                <w:szCs w:val="19"/>
              </w:rPr>
            </w:pPr>
            <w:r w:rsidRPr="00695835">
              <w:rPr>
                <w:rFonts w:cs="Arial"/>
                <w:sz w:val="19"/>
                <w:szCs w:val="19"/>
              </w:rPr>
              <w:t>Environment &amp; Community Services Portfolio</w:t>
            </w:r>
          </w:p>
        </w:tc>
        <w:tc>
          <w:tcPr>
            <w:tcW w:w="1469" w:type="dxa"/>
            <w:tcBorders>
              <w:top w:val="nil"/>
              <w:left w:val="nil"/>
              <w:bottom w:val="nil"/>
              <w:right w:val="single" w:sz="4" w:space="0" w:color="auto"/>
            </w:tcBorders>
            <w:shd w:val="clear" w:color="auto" w:fill="auto"/>
            <w:noWrap/>
            <w:vAlign w:val="bottom"/>
            <w:hideMark/>
          </w:tcPr>
          <w:p w14:paraId="4E4E5593" w14:textId="77777777" w:rsidR="00866495" w:rsidRPr="00695835" w:rsidRDefault="00866495" w:rsidP="0070500D">
            <w:pPr>
              <w:jc w:val="right"/>
              <w:rPr>
                <w:rFonts w:cs="Arial"/>
                <w:sz w:val="19"/>
                <w:szCs w:val="19"/>
              </w:rPr>
            </w:pPr>
            <w:r w:rsidRPr="00695835">
              <w:rPr>
                <w:rFonts w:cs="Arial"/>
                <w:sz w:val="19"/>
                <w:szCs w:val="19"/>
              </w:rPr>
              <w:t>31,461</w:t>
            </w:r>
          </w:p>
        </w:tc>
        <w:tc>
          <w:tcPr>
            <w:tcW w:w="1398" w:type="dxa"/>
            <w:tcBorders>
              <w:top w:val="nil"/>
              <w:left w:val="nil"/>
              <w:bottom w:val="nil"/>
              <w:right w:val="single" w:sz="4" w:space="0" w:color="auto"/>
            </w:tcBorders>
            <w:shd w:val="clear" w:color="auto" w:fill="auto"/>
            <w:noWrap/>
            <w:vAlign w:val="bottom"/>
            <w:hideMark/>
          </w:tcPr>
          <w:p w14:paraId="2E35D486" w14:textId="77777777" w:rsidR="00866495" w:rsidRPr="00695835" w:rsidRDefault="00866495" w:rsidP="0070500D">
            <w:pPr>
              <w:jc w:val="right"/>
              <w:rPr>
                <w:rFonts w:cs="Arial"/>
                <w:sz w:val="19"/>
                <w:szCs w:val="19"/>
              </w:rPr>
            </w:pPr>
            <w:r w:rsidRPr="00695835">
              <w:rPr>
                <w:rFonts w:cs="Arial"/>
                <w:sz w:val="19"/>
                <w:szCs w:val="19"/>
              </w:rPr>
              <w:t>228.82</w:t>
            </w:r>
          </w:p>
        </w:tc>
      </w:tr>
      <w:tr w:rsidR="00866495" w:rsidRPr="00695835" w14:paraId="7EE285FC"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0BD0C2E1" w14:textId="77777777" w:rsidR="00866495" w:rsidRPr="00695835" w:rsidRDefault="00866495" w:rsidP="0070500D">
            <w:pPr>
              <w:jc w:val="right"/>
              <w:rPr>
                <w:rFonts w:cs="Arial"/>
                <w:sz w:val="19"/>
                <w:szCs w:val="19"/>
              </w:rPr>
            </w:pPr>
            <w:r w:rsidRPr="00695835">
              <w:rPr>
                <w:rFonts w:cs="Arial"/>
                <w:sz w:val="19"/>
                <w:szCs w:val="19"/>
              </w:rPr>
              <w:t>3,357</w:t>
            </w:r>
          </w:p>
        </w:tc>
        <w:tc>
          <w:tcPr>
            <w:tcW w:w="6817" w:type="dxa"/>
            <w:tcBorders>
              <w:top w:val="nil"/>
              <w:left w:val="nil"/>
              <w:bottom w:val="nil"/>
              <w:right w:val="single" w:sz="4" w:space="0" w:color="auto"/>
            </w:tcBorders>
            <w:shd w:val="clear" w:color="auto" w:fill="auto"/>
            <w:noWrap/>
            <w:vAlign w:val="bottom"/>
            <w:hideMark/>
          </w:tcPr>
          <w:p w14:paraId="62D0E849" w14:textId="77777777" w:rsidR="00866495" w:rsidRPr="00695835" w:rsidRDefault="00866495" w:rsidP="0070500D">
            <w:pPr>
              <w:rPr>
                <w:rFonts w:cs="Arial"/>
                <w:sz w:val="19"/>
                <w:szCs w:val="19"/>
              </w:rPr>
            </w:pPr>
            <w:r w:rsidRPr="00695835">
              <w:rPr>
                <w:rFonts w:cs="Arial"/>
                <w:sz w:val="19"/>
                <w:szCs w:val="19"/>
              </w:rPr>
              <w:t>Public Protection and Enforcement</w:t>
            </w:r>
          </w:p>
        </w:tc>
        <w:tc>
          <w:tcPr>
            <w:tcW w:w="1469" w:type="dxa"/>
            <w:tcBorders>
              <w:top w:val="nil"/>
              <w:left w:val="nil"/>
              <w:bottom w:val="nil"/>
              <w:right w:val="single" w:sz="4" w:space="0" w:color="auto"/>
            </w:tcBorders>
            <w:shd w:val="clear" w:color="auto" w:fill="auto"/>
            <w:noWrap/>
            <w:vAlign w:val="bottom"/>
            <w:hideMark/>
          </w:tcPr>
          <w:p w14:paraId="036C1B5B" w14:textId="77777777" w:rsidR="00866495" w:rsidRPr="00695835" w:rsidRDefault="00866495" w:rsidP="0070500D">
            <w:pPr>
              <w:jc w:val="right"/>
              <w:rPr>
                <w:rFonts w:cs="Arial"/>
                <w:sz w:val="19"/>
                <w:szCs w:val="19"/>
              </w:rPr>
            </w:pPr>
            <w:r w:rsidRPr="00695835">
              <w:rPr>
                <w:rFonts w:cs="Arial"/>
                <w:sz w:val="19"/>
                <w:szCs w:val="19"/>
              </w:rPr>
              <w:t>3,606</w:t>
            </w:r>
          </w:p>
        </w:tc>
        <w:tc>
          <w:tcPr>
            <w:tcW w:w="1398" w:type="dxa"/>
            <w:tcBorders>
              <w:top w:val="nil"/>
              <w:left w:val="nil"/>
              <w:bottom w:val="nil"/>
              <w:right w:val="single" w:sz="4" w:space="0" w:color="auto"/>
            </w:tcBorders>
            <w:shd w:val="clear" w:color="auto" w:fill="auto"/>
            <w:noWrap/>
            <w:vAlign w:val="bottom"/>
            <w:hideMark/>
          </w:tcPr>
          <w:p w14:paraId="65621593" w14:textId="77777777" w:rsidR="00866495" w:rsidRPr="00695835" w:rsidRDefault="00866495" w:rsidP="0070500D">
            <w:pPr>
              <w:jc w:val="right"/>
              <w:rPr>
                <w:rFonts w:cs="Arial"/>
                <w:sz w:val="19"/>
                <w:szCs w:val="19"/>
              </w:rPr>
            </w:pPr>
            <w:r w:rsidRPr="00695835">
              <w:rPr>
                <w:rFonts w:cs="Arial"/>
                <w:sz w:val="19"/>
                <w:szCs w:val="19"/>
              </w:rPr>
              <w:t>26.23</w:t>
            </w:r>
          </w:p>
        </w:tc>
      </w:tr>
      <w:tr w:rsidR="00866495" w:rsidRPr="00695835" w14:paraId="14D121BA"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533B0FBA" w14:textId="77777777" w:rsidR="00866495" w:rsidRPr="00695835" w:rsidRDefault="00866495" w:rsidP="0070500D">
            <w:pPr>
              <w:jc w:val="right"/>
              <w:rPr>
                <w:rFonts w:cs="Arial"/>
                <w:sz w:val="19"/>
                <w:szCs w:val="19"/>
              </w:rPr>
            </w:pPr>
            <w:r w:rsidRPr="00695835">
              <w:rPr>
                <w:rFonts w:cs="Arial"/>
                <w:sz w:val="19"/>
                <w:szCs w:val="19"/>
              </w:rPr>
              <w:t>16,740</w:t>
            </w:r>
          </w:p>
        </w:tc>
        <w:tc>
          <w:tcPr>
            <w:tcW w:w="6817" w:type="dxa"/>
            <w:tcBorders>
              <w:top w:val="nil"/>
              <w:left w:val="nil"/>
              <w:bottom w:val="nil"/>
              <w:right w:val="single" w:sz="4" w:space="0" w:color="auto"/>
            </w:tcBorders>
            <w:shd w:val="clear" w:color="auto" w:fill="auto"/>
            <w:noWrap/>
            <w:vAlign w:val="bottom"/>
            <w:hideMark/>
          </w:tcPr>
          <w:p w14:paraId="1BD74417" w14:textId="77777777" w:rsidR="00866495" w:rsidRPr="00695835" w:rsidRDefault="00866495" w:rsidP="0070500D">
            <w:pPr>
              <w:rPr>
                <w:rFonts w:cs="Arial"/>
                <w:sz w:val="19"/>
                <w:szCs w:val="19"/>
              </w:rPr>
            </w:pPr>
            <w:r w:rsidRPr="00695835">
              <w:rPr>
                <w:rFonts w:cs="Arial"/>
                <w:sz w:val="19"/>
                <w:szCs w:val="19"/>
              </w:rPr>
              <w:t>Renewal, Recreation and Housing</w:t>
            </w:r>
          </w:p>
        </w:tc>
        <w:tc>
          <w:tcPr>
            <w:tcW w:w="1469" w:type="dxa"/>
            <w:tcBorders>
              <w:top w:val="nil"/>
              <w:left w:val="nil"/>
              <w:bottom w:val="nil"/>
              <w:right w:val="single" w:sz="4" w:space="0" w:color="auto"/>
            </w:tcBorders>
            <w:shd w:val="clear" w:color="auto" w:fill="auto"/>
            <w:noWrap/>
            <w:vAlign w:val="bottom"/>
            <w:hideMark/>
          </w:tcPr>
          <w:p w14:paraId="2C5BE0F3" w14:textId="77777777" w:rsidR="00866495" w:rsidRPr="00695835" w:rsidRDefault="00866495" w:rsidP="0070500D">
            <w:pPr>
              <w:jc w:val="right"/>
              <w:rPr>
                <w:rFonts w:cs="Arial"/>
                <w:sz w:val="19"/>
                <w:szCs w:val="19"/>
              </w:rPr>
            </w:pPr>
            <w:r w:rsidRPr="00695835">
              <w:rPr>
                <w:rFonts w:cs="Arial"/>
                <w:sz w:val="19"/>
                <w:szCs w:val="19"/>
              </w:rPr>
              <w:t>25,352</w:t>
            </w:r>
          </w:p>
        </w:tc>
        <w:tc>
          <w:tcPr>
            <w:tcW w:w="1398" w:type="dxa"/>
            <w:tcBorders>
              <w:top w:val="nil"/>
              <w:left w:val="nil"/>
              <w:bottom w:val="nil"/>
              <w:right w:val="single" w:sz="4" w:space="0" w:color="auto"/>
            </w:tcBorders>
            <w:shd w:val="clear" w:color="auto" w:fill="auto"/>
            <w:noWrap/>
            <w:vAlign w:val="bottom"/>
            <w:hideMark/>
          </w:tcPr>
          <w:p w14:paraId="5BD1A5C3" w14:textId="77777777" w:rsidR="00866495" w:rsidRPr="00695835" w:rsidRDefault="00866495" w:rsidP="0070500D">
            <w:pPr>
              <w:jc w:val="right"/>
              <w:rPr>
                <w:rFonts w:cs="Arial"/>
                <w:sz w:val="19"/>
                <w:szCs w:val="19"/>
              </w:rPr>
            </w:pPr>
            <w:r w:rsidRPr="00695835">
              <w:rPr>
                <w:rFonts w:cs="Arial"/>
                <w:sz w:val="19"/>
                <w:szCs w:val="19"/>
              </w:rPr>
              <w:t>184.39</w:t>
            </w:r>
          </w:p>
        </w:tc>
      </w:tr>
      <w:tr w:rsidR="00866495" w:rsidRPr="00695835" w14:paraId="3802F293"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3607A806" w14:textId="77777777" w:rsidR="00866495" w:rsidRPr="00695835" w:rsidRDefault="00866495" w:rsidP="0070500D">
            <w:pPr>
              <w:jc w:val="right"/>
              <w:rPr>
                <w:rFonts w:cs="Arial"/>
                <w:sz w:val="19"/>
                <w:szCs w:val="19"/>
              </w:rPr>
            </w:pPr>
            <w:r w:rsidRPr="00695835">
              <w:rPr>
                <w:rFonts w:cs="Arial"/>
                <w:sz w:val="19"/>
                <w:szCs w:val="19"/>
              </w:rPr>
              <w:t>45,543</w:t>
            </w:r>
          </w:p>
        </w:tc>
        <w:tc>
          <w:tcPr>
            <w:tcW w:w="6817" w:type="dxa"/>
            <w:tcBorders>
              <w:top w:val="nil"/>
              <w:left w:val="nil"/>
              <w:bottom w:val="nil"/>
              <w:right w:val="single" w:sz="4" w:space="0" w:color="auto"/>
            </w:tcBorders>
            <w:shd w:val="clear" w:color="auto" w:fill="auto"/>
            <w:noWrap/>
            <w:vAlign w:val="bottom"/>
            <w:hideMark/>
          </w:tcPr>
          <w:p w14:paraId="5EC5C4A5" w14:textId="77777777" w:rsidR="00866495" w:rsidRPr="00695835" w:rsidRDefault="00866495" w:rsidP="0070500D">
            <w:pPr>
              <w:rPr>
                <w:rFonts w:cs="Arial"/>
                <w:sz w:val="19"/>
                <w:szCs w:val="19"/>
              </w:rPr>
            </w:pPr>
            <w:r w:rsidRPr="00695835">
              <w:rPr>
                <w:rFonts w:cs="Arial"/>
                <w:sz w:val="19"/>
                <w:szCs w:val="19"/>
              </w:rPr>
              <w:t>Resources, Commissioning &amp; Contracts Management</w:t>
            </w:r>
          </w:p>
        </w:tc>
        <w:tc>
          <w:tcPr>
            <w:tcW w:w="1469" w:type="dxa"/>
            <w:tcBorders>
              <w:top w:val="nil"/>
              <w:left w:val="nil"/>
              <w:bottom w:val="nil"/>
              <w:right w:val="single" w:sz="4" w:space="0" w:color="auto"/>
            </w:tcBorders>
            <w:shd w:val="clear" w:color="auto" w:fill="auto"/>
            <w:noWrap/>
            <w:vAlign w:val="bottom"/>
            <w:hideMark/>
          </w:tcPr>
          <w:p w14:paraId="6415DF4E" w14:textId="77777777" w:rsidR="00866495" w:rsidRPr="00695835" w:rsidRDefault="00866495" w:rsidP="0070500D">
            <w:pPr>
              <w:jc w:val="right"/>
              <w:rPr>
                <w:rFonts w:cs="Arial"/>
                <w:sz w:val="19"/>
                <w:szCs w:val="19"/>
              </w:rPr>
            </w:pPr>
            <w:r w:rsidRPr="00695835">
              <w:rPr>
                <w:rFonts w:cs="Arial"/>
                <w:sz w:val="19"/>
                <w:szCs w:val="19"/>
              </w:rPr>
              <w:t>46,472</w:t>
            </w:r>
          </w:p>
        </w:tc>
        <w:tc>
          <w:tcPr>
            <w:tcW w:w="1398" w:type="dxa"/>
            <w:tcBorders>
              <w:top w:val="nil"/>
              <w:left w:val="nil"/>
              <w:bottom w:val="nil"/>
              <w:right w:val="single" w:sz="4" w:space="0" w:color="auto"/>
            </w:tcBorders>
            <w:shd w:val="clear" w:color="auto" w:fill="auto"/>
            <w:noWrap/>
            <w:vAlign w:val="bottom"/>
            <w:hideMark/>
          </w:tcPr>
          <w:p w14:paraId="3624ACB8" w14:textId="77777777" w:rsidR="00866495" w:rsidRPr="00695835" w:rsidRDefault="00866495" w:rsidP="0070500D">
            <w:pPr>
              <w:jc w:val="right"/>
              <w:rPr>
                <w:rFonts w:cs="Arial"/>
                <w:sz w:val="19"/>
                <w:szCs w:val="19"/>
              </w:rPr>
            </w:pPr>
            <w:r w:rsidRPr="00695835">
              <w:rPr>
                <w:rFonts w:cs="Arial"/>
                <w:sz w:val="19"/>
                <w:szCs w:val="19"/>
              </w:rPr>
              <w:t>338.00</w:t>
            </w:r>
          </w:p>
        </w:tc>
      </w:tr>
      <w:tr w:rsidR="00866495" w:rsidRPr="00695835" w14:paraId="459A62AB"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6420C22C" w14:textId="77777777" w:rsidR="00866495" w:rsidRPr="00695835" w:rsidRDefault="00866495" w:rsidP="0070500D">
            <w:pPr>
              <w:jc w:val="right"/>
              <w:rPr>
                <w:rFonts w:cs="Arial"/>
                <w:sz w:val="19"/>
                <w:szCs w:val="19"/>
              </w:rPr>
            </w:pPr>
            <w:r w:rsidRPr="00695835">
              <w:rPr>
                <w:rFonts w:cs="Arial"/>
                <w:sz w:val="19"/>
                <w:szCs w:val="19"/>
              </w:rPr>
              <w:t>1,417</w:t>
            </w:r>
          </w:p>
        </w:tc>
        <w:tc>
          <w:tcPr>
            <w:tcW w:w="6817" w:type="dxa"/>
            <w:tcBorders>
              <w:top w:val="nil"/>
              <w:left w:val="nil"/>
              <w:bottom w:val="nil"/>
              <w:right w:val="single" w:sz="4" w:space="0" w:color="auto"/>
            </w:tcBorders>
            <w:shd w:val="clear" w:color="auto" w:fill="auto"/>
            <w:noWrap/>
            <w:vAlign w:val="bottom"/>
            <w:hideMark/>
          </w:tcPr>
          <w:p w14:paraId="57C60AD8" w14:textId="77777777" w:rsidR="00866495" w:rsidRPr="00695835" w:rsidRDefault="00866495" w:rsidP="0070500D">
            <w:pPr>
              <w:rPr>
                <w:rFonts w:cs="Arial"/>
                <w:sz w:val="19"/>
                <w:szCs w:val="19"/>
              </w:rPr>
            </w:pPr>
            <w:r w:rsidRPr="00695835">
              <w:rPr>
                <w:rFonts w:cs="Arial"/>
                <w:sz w:val="19"/>
                <w:szCs w:val="19"/>
              </w:rPr>
              <w:t>Non Distributed Costs &amp; Corporate &amp; Democratic Core</w:t>
            </w:r>
          </w:p>
        </w:tc>
        <w:tc>
          <w:tcPr>
            <w:tcW w:w="1469" w:type="dxa"/>
            <w:tcBorders>
              <w:top w:val="nil"/>
              <w:left w:val="nil"/>
              <w:bottom w:val="nil"/>
              <w:right w:val="single" w:sz="4" w:space="0" w:color="auto"/>
            </w:tcBorders>
            <w:shd w:val="clear" w:color="auto" w:fill="auto"/>
            <w:noWrap/>
            <w:vAlign w:val="bottom"/>
            <w:hideMark/>
          </w:tcPr>
          <w:p w14:paraId="639AD9C8" w14:textId="77777777" w:rsidR="00866495" w:rsidRPr="00695835" w:rsidRDefault="00866495" w:rsidP="0070500D">
            <w:pPr>
              <w:jc w:val="right"/>
              <w:rPr>
                <w:rFonts w:cs="Arial"/>
                <w:sz w:val="19"/>
                <w:szCs w:val="19"/>
              </w:rPr>
            </w:pPr>
            <w:r w:rsidRPr="00695835">
              <w:rPr>
                <w:rFonts w:cs="Arial"/>
                <w:sz w:val="19"/>
                <w:szCs w:val="19"/>
              </w:rPr>
              <w:t>1,441</w:t>
            </w:r>
          </w:p>
        </w:tc>
        <w:tc>
          <w:tcPr>
            <w:tcW w:w="1398" w:type="dxa"/>
            <w:tcBorders>
              <w:top w:val="nil"/>
              <w:left w:val="nil"/>
              <w:bottom w:val="nil"/>
              <w:right w:val="single" w:sz="4" w:space="0" w:color="auto"/>
            </w:tcBorders>
            <w:shd w:val="clear" w:color="auto" w:fill="auto"/>
            <w:noWrap/>
            <w:vAlign w:val="bottom"/>
            <w:hideMark/>
          </w:tcPr>
          <w:p w14:paraId="46A1BB47" w14:textId="77777777" w:rsidR="00866495" w:rsidRPr="00695835" w:rsidRDefault="00866495" w:rsidP="0070500D">
            <w:pPr>
              <w:jc w:val="right"/>
              <w:rPr>
                <w:rFonts w:cs="Arial"/>
                <w:sz w:val="19"/>
                <w:szCs w:val="19"/>
              </w:rPr>
            </w:pPr>
            <w:r w:rsidRPr="00695835">
              <w:rPr>
                <w:rFonts w:cs="Arial"/>
                <w:sz w:val="19"/>
                <w:szCs w:val="19"/>
              </w:rPr>
              <w:t>10.48</w:t>
            </w:r>
          </w:p>
        </w:tc>
      </w:tr>
      <w:tr w:rsidR="00866495" w:rsidRPr="00695835" w14:paraId="1014BC6E"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4EC805B9" w14:textId="77777777" w:rsidR="00866495" w:rsidRPr="00695835" w:rsidRDefault="00866495" w:rsidP="0070500D">
            <w:pPr>
              <w:jc w:val="right"/>
              <w:rPr>
                <w:rFonts w:cs="Arial"/>
                <w:sz w:val="19"/>
                <w:szCs w:val="19"/>
              </w:rPr>
            </w:pPr>
            <w:r w:rsidRPr="00695835">
              <w:rPr>
                <w:rFonts w:cs="Arial"/>
                <w:sz w:val="19"/>
                <w:szCs w:val="19"/>
              </w:rPr>
              <w:t> </w:t>
            </w:r>
          </w:p>
        </w:tc>
        <w:tc>
          <w:tcPr>
            <w:tcW w:w="6817" w:type="dxa"/>
            <w:tcBorders>
              <w:top w:val="nil"/>
              <w:left w:val="nil"/>
              <w:bottom w:val="nil"/>
              <w:right w:val="single" w:sz="4" w:space="0" w:color="auto"/>
            </w:tcBorders>
            <w:shd w:val="clear" w:color="auto" w:fill="auto"/>
            <w:noWrap/>
            <w:vAlign w:val="bottom"/>
            <w:hideMark/>
          </w:tcPr>
          <w:p w14:paraId="6A906E9C" w14:textId="77777777" w:rsidR="00866495" w:rsidRPr="00695835" w:rsidRDefault="00866495" w:rsidP="0070500D">
            <w:pPr>
              <w:rPr>
                <w:rFonts w:cs="Arial"/>
                <w:sz w:val="19"/>
                <w:szCs w:val="19"/>
              </w:rPr>
            </w:pPr>
            <w:r w:rsidRPr="00695835">
              <w:rPr>
                <w:rFonts w:cs="Arial"/>
                <w:sz w:val="19"/>
                <w:szCs w:val="19"/>
              </w:rPr>
              <w:t> </w:t>
            </w:r>
          </w:p>
        </w:tc>
        <w:tc>
          <w:tcPr>
            <w:tcW w:w="1469" w:type="dxa"/>
            <w:tcBorders>
              <w:top w:val="nil"/>
              <w:left w:val="nil"/>
              <w:bottom w:val="nil"/>
              <w:right w:val="single" w:sz="4" w:space="0" w:color="auto"/>
            </w:tcBorders>
            <w:shd w:val="clear" w:color="auto" w:fill="auto"/>
            <w:noWrap/>
            <w:vAlign w:val="bottom"/>
            <w:hideMark/>
          </w:tcPr>
          <w:p w14:paraId="41F03FCC" w14:textId="77777777" w:rsidR="00866495" w:rsidRPr="00695835" w:rsidRDefault="00866495" w:rsidP="0070500D">
            <w:pPr>
              <w:jc w:val="right"/>
              <w:rPr>
                <w:rFonts w:cs="Arial"/>
                <w:sz w:val="19"/>
                <w:szCs w:val="19"/>
              </w:rPr>
            </w:pPr>
            <w:r w:rsidRPr="00695835">
              <w:rPr>
                <w:rFonts w:cs="Arial"/>
                <w:sz w:val="19"/>
                <w:szCs w:val="19"/>
              </w:rPr>
              <w:t> </w:t>
            </w:r>
          </w:p>
        </w:tc>
        <w:tc>
          <w:tcPr>
            <w:tcW w:w="1398" w:type="dxa"/>
            <w:tcBorders>
              <w:top w:val="nil"/>
              <w:left w:val="nil"/>
              <w:bottom w:val="nil"/>
              <w:right w:val="single" w:sz="4" w:space="0" w:color="auto"/>
            </w:tcBorders>
            <w:shd w:val="clear" w:color="auto" w:fill="auto"/>
            <w:noWrap/>
            <w:vAlign w:val="bottom"/>
            <w:hideMark/>
          </w:tcPr>
          <w:p w14:paraId="38CC48E1" w14:textId="77777777" w:rsidR="00866495" w:rsidRPr="00695835" w:rsidRDefault="00866495" w:rsidP="0070500D">
            <w:pPr>
              <w:jc w:val="right"/>
              <w:rPr>
                <w:rFonts w:cs="Arial"/>
                <w:sz w:val="19"/>
                <w:szCs w:val="19"/>
              </w:rPr>
            </w:pPr>
            <w:r w:rsidRPr="00695835">
              <w:rPr>
                <w:rFonts w:cs="Arial"/>
                <w:sz w:val="19"/>
                <w:szCs w:val="19"/>
              </w:rPr>
              <w:t> </w:t>
            </w:r>
          </w:p>
        </w:tc>
      </w:tr>
      <w:tr w:rsidR="00866495" w:rsidRPr="00695835" w14:paraId="6EA02134" w14:textId="77777777" w:rsidTr="0070500D">
        <w:trPr>
          <w:trHeight w:val="256"/>
        </w:trPr>
        <w:tc>
          <w:tcPr>
            <w:tcW w:w="149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068D6F87" w14:textId="77777777" w:rsidR="00866495" w:rsidRPr="00695835" w:rsidRDefault="00866495" w:rsidP="0070500D">
            <w:pPr>
              <w:jc w:val="right"/>
              <w:rPr>
                <w:rFonts w:cs="Arial"/>
                <w:b/>
                <w:bCs/>
                <w:sz w:val="19"/>
                <w:szCs w:val="19"/>
              </w:rPr>
            </w:pPr>
            <w:r w:rsidRPr="00695835">
              <w:rPr>
                <w:rFonts w:cs="Arial"/>
                <w:b/>
                <w:bCs/>
                <w:sz w:val="19"/>
                <w:szCs w:val="19"/>
              </w:rPr>
              <w:t>265,127</w:t>
            </w:r>
          </w:p>
        </w:tc>
        <w:tc>
          <w:tcPr>
            <w:tcW w:w="6817" w:type="dxa"/>
            <w:tcBorders>
              <w:top w:val="nil"/>
              <w:left w:val="nil"/>
              <w:bottom w:val="nil"/>
              <w:right w:val="single" w:sz="4" w:space="0" w:color="auto"/>
            </w:tcBorders>
            <w:shd w:val="clear" w:color="auto" w:fill="auto"/>
            <w:noWrap/>
            <w:vAlign w:val="bottom"/>
            <w:hideMark/>
          </w:tcPr>
          <w:p w14:paraId="7AFC3DEB" w14:textId="77777777" w:rsidR="00866495" w:rsidRPr="00695835" w:rsidRDefault="00866495" w:rsidP="0070500D">
            <w:pPr>
              <w:rPr>
                <w:rFonts w:cs="Arial"/>
                <w:b/>
                <w:bCs/>
                <w:sz w:val="19"/>
                <w:szCs w:val="19"/>
              </w:rPr>
            </w:pPr>
            <w:r w:rsidRPr="00695835">
              <w:rPr>
                <w:rFonts w:cs="Arial"/>
                <w:b/>
                <w:bCs/>
                <w:sz w:val="19"/>
                <w:szCs w:val="19"/>
              </w:rPr>
              <w:t>Total Controllable Budgets</w:t>
            </w:r>
          </w:p>
        </w:tc>
        <w:tc>
          <w:tcPr>
            <w:tcW w:w="1469" w:type="dxa"/>
            <w:tcBorders>
              <w:top w:val="single" w:sz="4" w:space="0" w:color="auto"/>
              <w:left w:val="nil"/>
              <w:bottom w:val="dotted" w:sz="4" w:space="0" w:color="auto"/>
              <w:right w:val="single" w:sz="4" w:space="0" w:color="auto"/>
            </w:tcBorders>
            <w:shd w:val="clear" w:color="auto" w:fill="auto"/>
            <w:noWrap/>
            <w:vAlign w:val="bottom"/>
            <w:hideMark/>
          </w:tcPr>
          <w:p w14:paraId="39E06332" w14:textId="77777777" w:rsidR="00866495" w:rsidRPr="00695835" w:rsidRDefault="00866495" w:rsidP="0070500D">
            <w:pPr>
              <w:jc w:val="right"/>
              <w:rPr>
                <w:rFonts w:cs="Arial"/>
                <w:b/>
                <w:bCs/>
                <w:sz w:val="19"/>
                <w:szCs w:val="19"/>
              </w:rPr>
            </w:pPr>
            <w:r w:rsidRPr="00695835">
              <w:rPr>
                <w:rFonts w:cs="Arial"/>
                <w:b/>
                <w:bCs/>
                <w:sz w:val="19"/>
                <w:szCs w:val="19"/>
              </w:rPr>
              <w:t>279,420</w:t>
            </w:r>
          </w:p>
        </w:tc>
        <w:tc>
          <w:tcPr>
            <w:tcW w:w="1398" w:type="dxa"/>
            <w:tcBorders>
              <w:top w:val="single" w:sz="4" w:space="0" w:color="auto"/>
              <w:left w:val="nil"/>
              <w:bottom w:val="dotted" w:sz="4" w:space="0" w:color="auto"/>
              <w:right w:val="single" w:sz="4" w:space="0" w:color="auto"/>
            </w:tcBorders>
            <w:shd w:val="clear" w:color="auto" w:fill="auto"/>
            <w:noWrap/>
            <w:vAlign w:val="bottom"/>
            <w:hideMark/>
          </w:tcPr>
          <w:p w14:paraId="704A54B2" w14:textId="77777777" w:rsidR="00866495" w:rsidRPr="00695835" w:rsidRDefault="00866495" w:rsidP="0070500D">
            <w:pPr>
              <w:jc w:val="right"/>
              <w:rPr>
                <w:rFonts w:cs="Arial"/>
                <w:b/>
                <w:bCs/>
                <w:sz w:val="19"/>
                <w:szCs w:val="19"/>
              </w:rPr>
            </w:pPr>
            <w:r w:rsidRPr="00695835">
              <w:rPr>
                <w:rFonts w:cs="Arial"/>
                <w:b/>
                <w:bCs/>
                <w:sz w:val="19"/>
                <w:szCs w:val="19"/>
              </w:rPr>
              <w:t>2,032.29</w:t>
            </w:r>
          </w:p>
        </w:tc>
      </w:tr>
      <w:tr w:rsidR="00866495" w:rsidRPr="00695835" w14:paraId="75819A18"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1026C181" w14:textId="77777777" w:rsidR="00866495" w:rsidRPr="00695835" w:rsidRDefault="00866495" w:rsidP="0070500D">
            <w:pPr>
              <w:jc w:val="right"/>
              <w:rPr>
                <w:rFonts w:cs="Arial"/>
                <w:sz w:val="19"/>
                <w:szCs w:val="19"/>
              </w:rPr>
            </w:pPr>
            <w:r w:rsidRPr="00695835">
              <w:rPr>
                <w:rFonts w:cs="Arial"/>
                <w:sz w:val="19"/>
                <w:szCs w:val="19"/>
              </w:rPr>
              <w:t> </w:t>
            </w:r>
          </w:p>
        </w:tc>
        <w:tc>
          <w:tcPr>
            <w:tcW w:w="6817" w:type="dxa"/>
            <w:tcBorders>
              <w:top w:val="nil"/>
              <w:left w:val="nil"/>
              <w:bottom w:val="nil"/>
              <w:right w:val="single" w:sz="4" w:space="0" w:color="auto"/>
            </w:tcBorders>
            <w:shd w:val="clear" w:color="auto" w:fill="auto"/>
            <w:noWrap/>
            <w:vAlign w:val="bottom"/>
            <w:hideMark/>
          </w:tcPr>
          <w:p w14:paraId="39DA1DD9" w14:textId="77777777" w:rsidR="00866495" w:rsidRPr="00695835" w:rsidRDefault="00866495" w:rsidP="0070500D">
            <w:pPr>
              <w:rPr>
                <w:rFonts w:cs="Arial"/>
                <w:sz w:val="19"/>
                <w:szCs w:val="19"/>
              </w:rPr>
            </w:pPr>
            <w:r w:rsidRPr="00695835">
              <w:rPr>
                <w:rFonts w:cs="Arial"/>
                <w:sz w:val="19"/>
                <w:szCs w:val="19"/>
              </w:rPr>
              <w:t> </w:t>
            </w:r>
          </w:p>
        </w:tc>
        <w:tc>
          <w:tcPr>
            <w:tcW w:w="1469" w:type="dxa"/>
            <w:tcBorders>
              <w:top w:val="nil"/>
              <w:left w:val="nil"/>
              <w:bottom w:val="nil"/>
              <w:right w:val="single" w:sz="4" w:space="0" w:color="auto"/>
            </w:tcBorders>
            <w:shd w:val="clear" w:color="auto" w:fill="auto"/>
            <w:noWrap/>
            <w:vAlign w:val="bottom"/>
            <w:hideMark/>
          </w:tcPr>
          <w:p w14:paraId="7FB7D935" w14:textId="77777777" w:rsidR="00866495" w:rsidRPr="00695835" w:rsidRDefault="00866495" w:rsidP="0070500D">
            <w:pPr>
              <w:jc w:val="right"/>
              <w:rPr>
                <w:rFonts w:cs="Arial"/>
                <w:sz w:val="19"/>
                <w:szCs w:val="19"/>
              </w:rPr>
            </w:pPr>
            <w:r w:rsidRPr="00695835">
              <w:rPr>
                <w:rFonts w:cs="Arial"/>
                <w:sz w:val="19"/>
                <w:szCs w:val="19"/>
              </w:rPr>
              <w:t> </w:t>
            </w:r>
          </w:p>
        </w:tc>
        <w:tc>
          <w:tcPr>
            <w:tcW w:w="1398" w:type="dxa"/>
            <w:tcBorders>
              <w:top w:val="nil"/>
              <w:left w:val="nil"/>
              <w:bottom w:val="nil"/>
              <w:right w:val="single" w:sz="4" w:space="0" w:color="auto"/>
            </w:tcBorders>
            <w:shd w:val="clear" w:color="auto" w:fill="auto"/>
            <w:noWrap/>
            <w:vAlign w:val="bottom"/>
            <w:hideMark/>
          </w:tcPr>
          <w:p w14:paraId="4B14BC1E" w14:textId="77777777" w:rsidR="00866495" w:rsidRPr="00695835" w:rsidRDefault="00866495" w:rsidP="0070500D">
            <w:pPr>
              <w:jc w:val="right"/>
              <w:rPr>
                <w:rFonts w:cs="Arial"/>
                <w:sz w:val="19"/>
                <w:szCs w:val="19"/>
              </w:rPr>
            </w:pPr>
            <w:r w:rsidRPr="00695835">
              <w:rPr>
                <w:rFonts w:cs="Arial"/>
                <w:sz w:val="19"/>
                <w:szCs w:val="19"/>
              </w:rPr>
              <w:t> </w:t>
            </w:r>
          </w:p>
        </w:tc>
      </w:tr>
      <w:tr w:rsidR="00866495" w:rsidRPr="00695835" w14:paraId="28192744"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08018AB3" w14:textId="77777777" w:rsidR="00866495" w:rsidRPr="00695835" w:rsidRDefault="00866495" w:rsidP="0070500D">
            <w:pPr>
              <w:jc w:val="right"/>
              <w:rPr>
                <w:rFonts w:cs="Arial"/>
                <w:sz w:val="19"/>
                <w:szCs w:val="19"/>
              </w:rPr>
            </w:pPr>
            <w:r w:rsidRPr="00695835">
              <w:rPr>
                <w:rFonts w:cs="Arial"/>
                <w:sz w:val="19"/>
                <w:szCs w:val="19"/>
              </w:rPr>
              <w:lastRenderedPageBreak/>
              <w:t>12,247</w:t>
            </w:r>
          </w:p>
        </w:tc>
        <w:tc>
          <w:tcPr>
            <w:tcW w:w="6817" w:type="dxa"/>
            <w:tcBorders>
              <w:top w:val="nil"/>
              <w:left w:val="nil"/>
              <w:bottom w:val="nil"/>
              <w:right w:val="single" w:sz="4" w:space="0" w:color="auto"/>
            </w:tcBorders>
            <w:shd w:val="clear" w:color="auto" w:fill="auto"/>
            <w:noWrap/>
            <w:vAlign w:val="bottom"/>
            <w:hideMark/>
          </w:tcPr>
          <w:p w14:paraId="3E32B1CB" w14:textId="77777777" w:rsidR="00866495" w:rsidRPr="00695835" w:rsidRDefault="00866495" w:rsidP="0070500D">
            <w:pPr>
              <w:rPr>
                <w:rFonts w:cs="Arial"/>
                <w:sz w:val="19"/>
                <w:szCs w:val="19"/>
              </w:rPr>
            </w:pPr>
            <w:r w:rsidRPr="00695835">
              <w:rPr>
                <w:rFonts w:cs="Arial"/>
                <w:sz w:val="19"/>
                <w:szCs w:val="19"/>
              </w:rPr>
              <w:t xml:space="preserve">Total </w:t>
            </w:r>
            <w:proofErr w:type="spellStart"/>
            <w:r w:rsidRPr="00695835">
              <w:rPr>
                <w:rFonts w:cs="Arial"/>
                <w:sz w:val="19"/>
                <w:szCs w:val="19"/>
              </w:rPr>
              <w:t>Non Controllable</w:t>
            </w:r>
            <w:proofErr w:type="spellEnd"/>
            <w:r w:rsidRPr="00695835">
              <w:rPr>
                <w:rFonts w:cs="Arial"/>
                <w:sz w:val="19"/>
                <w:szCs w:val="19"/>
              </w:rPr>
              <w:t xml:space="preserve"> Budgets</w:t>
            </w:r>
          </w:p>
        </w:tc>
        <w:tc>
          <w:tcPr>
            <w:tcW w:w="1469" w:type="dxa"/>
            <w:tcBorders>
              <w:top w:val="nil"/>
              <w:left w:val="nil"/>
              <w:bottom w:val="nil"/>
              <w:right w:val="single" w:sz="4" w:space="0" w:color="auto"/>
            </w:tcBorders>
            <w:shd w:val="clear" w:color="auto" w:fill="auto"/>
            <w:noWrap/>
            <w:vAlign w:val="bottom"/>
            <w:hideMark/>
          </w:tcPr>
          <w:p w14:paraId="39DB9E80" w14:textId="77777777" w:rsidR="00866495" w:rsidRPr="00695835" w:rsidRDefault="00866495" w:rsidP="0070500D">
            <w:pPr>
              <w:jc w:val="right"/>
              <w:rPr>
                <w:rFonts w:cs="Arial"/>
                <w:sz w:val="19"/>
                <w:szCs w:val="19"/>
              </w:rPr>
            </w:pPr>
            <w:r w:rsidRPr="00695835">
              <w:rPr>
                <w:rFonts w:cs="Arial"/>
                <w:sz w:val="19"/>
                <w:szCs w:val="19"/>
              </w:rPr>
              <w:t>10,126</w:t>
            </w:r>
          </w:p>
        </w:tc>
        <w:tc>
          <w:tcPr>
            <w:tcW w:w="1398" w:type="dxa"/>
            <w:tcBorders>
              <w:top w:val="nil"/>
              <w:left w:val="nil"/>
              <w:bottom w:val="nil"/>
              <w:right w:val="single" w:sz="4" w:space="0" w:color="auto"/>
            </w:tcBorders>
            <w:shd w:val="clear" w:color="auto" w:fill="auto"/>
            <w:noWrap/>
            <w:vAlign w:val="bottom"/>
            <w:hideMark/>
          </w:tcPr>
          <w:p w14:paraId="395C619A" w14:textId="77777777" w:rsidR="00866495" w:rsidRPr="00695835" w:rsidRDefault="00866495" w:rsidP="0070500D">
            <w:pPr>
              <w:jc w:val="right"/>
              <w:rPr>
                <w:rFonts w:cs="Arial"/>
                <w:sz w:val="19"/>
                <w:szCs w:val="19"/>
              </w:rPr>
            </w:pPr>
            <w:r w:rsidRPr="00695835">
              <w:rPr>
                <w:rFonts w:cs="Arial"/>
                <w:sz w:val="19"/>
                <w:szCs w:val="19"/>
              </w:rPr>
              <w:t>73.65</w:t>
            </w:r>
          </w:p>
        </w:tc>
      </w:tr>
      <w:tr w:rsidR="00866495" w:rsidRPr="00695835" w14:paraId="4AEBF2DF"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680418C4" w14:textId="77777777" w:rsidR="00866495" w:rsidRPr="00695835" w:rsidRDefault="00866495" w:rsidP="0070500D">
            <w:pPr>
              <w:jc w:val="right"/>
              <w:rPr>
                <w:rFonts w:cs="Arial"/>
                <w:sz w:val="19"/>
                <w:szCs w:val="19"/>
              </w:rPr>
            </w:pPr>
            <w:r w:rsidRPr="00695835">
              <w:rPr>
                <w:rFonts w:cs="Arial"/>
                <w:sz w:val="19"/>
                <w:szCs w:val="19"/>
              </w:rPr>
              <w:t>Cr            937</w:t>
            </w:r>
          </w:p>
        </w:tc>
        <w:tc>
          <w:tcPr>
            <w:tcW w:w="6817" w:type="dxa"/>
            <w:tcBorders>
              <w:top w:val="nil"/>
              <w:left w:val="nil"/>
              <w:bottom w:val="nil"/>
              <w:right w:val="single" w:sz="4" w:space="0" w:color="auto"/>
            </w:tcBorders>
            <w:shd w:val="clear" w:color="auto" w:fill="auto"/>
            <w:noWrap/>
            <w:vAlign w:val="bottom"/>
            <w:hideMark/>
          </w:tcPr>
          <w:p w14:paraId="003718D5" w14:textId="77777777" w:rsidR="00866495" w:rsidRPr="00695835" w:rsidRDefault="00866495" w:rsidP="0070500D">
            <w:pPr>
              <w:rPr>
                <w:rFonts w:cs="Arial"/>
                <w:sz w:val="19"/>
                <w:szCs w:val="19"/>
              </w:rPr>
            </w:pPr>
            <w:r w:rsidRPr="00695835">
              <w:rPr>
                <w:rFonts w:cs="Arial"/>
                <w:sz w:val="19"/>
                <w:szCs w:val="19"/>
              </w:rPr>
              <w:t>Total Excluded Recharges</w:t>
            </w:r>
          </w:p>
        </w:tc>
        <w:tc>
          <w:tcPr>
            <w:tcW w:w="1469" w:type="dxa"/>
            <w:tcBorders>
              <w:top w:val="nil"/>
              <w:left w:val="nil"/>
              <w:bottom w:val="nil"/>
              <w:right w:val="single" w:sz="4" w:space="0" w:color="auto"/>
            </w:tcBorders>
            <w:shd w:val="clear" w:color="auto" w:fill="auto"/>
            <w:noWrap/>
            <w:vAlign w:val="bottom"/>
            <w:hideMark/>
          </w:tcPr>
          <w:p w14:paraId="5CC05FFF" w14:textId="77777777" w:rsidR="00866495" w:rsidRPr="00695835" w:rsidRDefault="00866495" w:rsidP="0070500D">
            <w:pPr>
              <w:jc w:val="right"/>
              <w:rPr>
                <w:rFonts w:cs="Arial"/>
                <w:sz w:val="19"/>
                <w:szCs w:val="19"/>
              </w:rPr>
            </w:pPr>
            <w:r w:rsidRPr="00695835">
              <w:rPr>
                <w:rFonts w:cs="Arial"/>
                <w:sz w:val="19"/>
                <w:szCs w:val="19"/>
              </w:rPr>
              <w:t>Cr           861</w:t>
            </w:r>
          </w:p>
        </w:tc>
        <w:tc>
          <w:tcPr>
            <w:tcW w:w="1398" w:type="dxa"/>
            <w:tcBorders>
              <w:top w:val="nil"/>
              <w:left w:val="nil"/>
              <w:bottom w:val="nil"/>
              <w:right w:val="single" w:sz="4" w:space="0" w:color="auto"/>
            </w:tcBorders>
            <w:shd w:val="clear" w:color="auto" w:fill="auto"/>
            <w:noWrap/>
            <w:vAlign w:val="bottom"/>
            <w:hideMark/>
          </w:tcPr>
          <w:p w14:paraId="5B2F9174" w14:textId="77777777" w:rsidR="00866495" w:rsidRPr="00695835" w:rsidRDefault="00866495" w:rsidP="0070500D">
            <w:pPr>
              <w:jc w:val="right"/>
              <w:rPr>
                <w:rFonts w:cs="Arial"/>
                <w:sz w:val="19"/>
                <w:szCs w:val="19"/>
              </w:rPr>
            </w:pPr>
            <w:r w:rsidRPr="00695835">
              <w:rPr>
                <w:rFonts w:cs="Arial"/>
                <w:sz w:val="19"/>
                <w:szCs w:val="19"/>
              </w:rPr>
              <w:t>-6.26</w:t>
            </w:r>
          </w:p>
        </w:tc>
      </w:tr>
      <w:tr w:rsidR="00866495" w:rsidRPr="00695835" w14:paraId="632F7906"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58D125C9" w14:textId="77777777" w:rsidR="00866495" w:rsidRPr="00695835" w:rsidRDefault="00866495" w:rsidP="0070500D">
            <w:pPr>
              <w:jc w:val="right"/>
              <w:rPr>
                <w:rFonts w:cs="Arial"/>
                <w:sz w:val="19"/>
                <w:szCs w:val="19"/>
              </w:rPr>
            </w:pPr>
            <w:r w:rsidRPr="00695835">
              <w:rPr>
                <w:rFonts w:cs="Arial"/>
                <w:sz w:val="19"/>
                <w:szCs w:val="19"/>
              </w:rPr>
              <w:t> </w:t>
            </w:r>
          </w:p>
        </w:tc>
        <w:tc>
          <w:tcPr>
            <w:tcW w:w="6817" w:type="dxa"/>
            <w:tcBorders>
              <w:top w:val="nil"/>
              <w:left w:val="nil"/>
              <w:bottom w:val="nil"/>
              <w:right w:val="single" w:sz="4" w:space="0" w:color="auto"/>
            </w:tcBorders>
            <w:shd w:val="clear" w:color="auto" w:fill="auto"/>
            <w:noWrap/>
            <w:vAlign w:val="bottom"/>
            <w:hideMark/>
          </w:tcPr>
          <w:p w14:paraId="6AA36283" w14:textId="77777777" w:rsidR="00866495" w:rsidRPr="00695835" w:rsidRDefault="00866495" w:rsidP="0070500D">
            <w:pPr>
              <w:rPr>
                <w:rFonts w:cs="Arial"/>
                <w:sz w:val="19"/>
                <w:szCs w:val="19"/>
              </w:rPr>
            </w:pPr>
            <w:r w:rsidRPr="00695835">
              <w:rPr>
                <w:rFonts w:cs="Arial"/>
                <w:sz w:val="19"/>
                <w:szCs w:val="19"/>
              </w:rPr>
              <w:t> </w:t>
            </w:r>
          </w:p>
        </w:tc>
        <w:tc>
          <w:tcPr>
            <w:tcW w:w="1469" w:type="dxa"/>
            <w:tcBorders>
              <w:top w:val="nil"/>
              <w:left w:val="nil"/>
              <w:bottom w:val="nil"/>
              <w:right w:val="single" w:sz="4" w:space="0" w:color="auto"/>
            </w:tcBorders>
            <w:shd w:val="clear" w:color="auto" w:fill="auto"/>
            <w:noWrap/>
            <w:vAlign w:val="bottom"/>
            <w:hideMark/>
          </w:tcPr>
          <w:p w14:paraId="19073B45" w14:textId="77777777" w:rsidR="00866495" w:rsidRPr="00695835" w:rsidRDefault="00866495" w:rsidP="0070500D">
            <w:pPr>
              <w:jc w:val="right"/>
              <w:rPr>
                <w:rFonts w:cs="Arial"/>
                <w:sz w:val="19"/>
                <w:szCs w:val="19"/>
              </w:rPr>
            </w:pPr>
            <w:r w:rsidRPr="00695835">
              <w:rPr>
                <w:rFonts w:cs="Arial"/>
                <w:sz w:val="19"/>
                <w:szCs w:val="19"/>
              </w:rPr>
              <w:t> </w:t>
            </w:r>
          </w:p>
        </w:tc>
        <w:tc>
          <w:tcPr>
            <w:tcW w:w="1398" w:type="dxa"/>
            <w:tcBorders>
              <w:top w:val="nil"/>
              <w:left w:val="nil"/>
              <w:bottom w:val="nil"/>
              <w:right w:val="single" w:sz="4" w:space="0" w:color="auto"/>
            </w:tcBorders>
            <w:shd w:val="clear" w:color="auto" w:fill="auto"/>
            <w:noWrap/>
            <w:vAlign w:val="bottom"/>
            <w:hideMark/>
          </w:tcPr>
          <w:p w14:paraId="45798D53" w14:textId="77777777" w:rsidR="00866495" w:rsidRPr="00695835" w:rsidRDefault="00866495" w:rsidP="0070500D">
            <w:pPr>
              <w:jc w:val="right"/>
              <w:rPr>
                <w:rFonts w:cs="Arial"/>
                <w:sz w:val="19"/>
                <w:szCs w:val="19"/>
              </w:rPr>
            </w:pPr>
            <w:r w:rsidRPr="00695835">
              <w:rPr>
                <w:rFonts w:cs="Arial"/>
                <w:sz w:val="19"/>
                <w:szCs w:val="19"/>
              </w:rPr>
              <w:t> </w:t>
            </w:r>
          </w:p>
        </w:tc>
      </w:tr>
      <w:tr w:rsidR="00866495" w:rsidRPr="00695835" w14:paraId="7E0DFF98" w14:textId="77777777" w:rsidTr="0070500D">
        <w:trPr>
          <w:trHeight w:val="256"/>
        </w:trPr>
        <w:tc>
          <w:tcPr>
            <w:tcW w:w="1490" w:type="dxa"/>
            <w:tcBorders>
              <w:top w:val="single" w:sz="4" w:space="0" w:color="auto"/>
              <w:left w:val="single" w:sz="4" w:space="0" w:color="auto"/>
              <w:bottom w:val="dashed" w:sz="4" w:space="0" w:color="auto"/>
              <w:right w:val="single" w:sz="4" w:space="0" w:color="auto"/>
            </w:tcBorders>
            <w:shd w:val="clear" w:color="auto" w:fill="auto"/>
            <w:noWrap/>
            <w:vAlign w:val="bottom"/>
            <w:hideMark/>
          </w:tcPr>
          <w:p w14:paraId="2F42CD26" w14:textId="77777777" w:rsidR="00866495" w:rsidRPr="00695835" w:rsidRDefault="00866495" w:rsidP="0070500D">
            <w:pPr>
              <w:jc w:val="right"/>
              <w:rPr>
                <w:rFonts w:cs="Arial"/>
                <w:b/>
                <w:bCs/>
                <w:sz w:val="19"/>
                <w:szCs w:val="19"/>
              </w:rPr>
            </w:pPr>
            <w:r w:rsidRPr="00695835">
              <w:rPr>
                <w:rFonts w:cs="Arial"/>
                <w:b/>
                <w:bCs/>
                <w:sz w:val="19"/>
                <w:szCs w:val="19"/>
              </w:rPr>
              <w:t>276,437</w:t>
            </w:r>
          </w:p>
        </w:tc>
        <w:tc>
          <w:tcPr>
            <w:tcW w:w="6817" w:type="dxa"/>
            <w:tcBorders>
              <w:top w:val="nil"/>
              <w:left w:val="nil"/>
              <w:right w:val="single" w:sz="4" w:space="0" w:color="auto"/>
            </w:tcBorders>
            <w:shd w:val="clear" w:color="auto" w:fill="auto"/>
            <w:noWrap/>
            <w:vAlign w:val="bottom"/>
            <w:hideMark/>
          </w:tcPr>
          <w:p w14:paraId="30C4E8D9" w14:textId="77777777" w:rsidR="00866495" w:rsidRPr="00695835" w:rsidRDefault="00866495" w:rsidP="0070500D">
            <w:pPr>
              <w:rPr>
                <w:rFonts w:cs="Arial"/>
                <w:b/>
                <w:bCs/>
                <w:sz w:val="19"/>
                <w:szCs w:val="19"/>
              </w:rPr>
            </w:pPr>
            <w:r w:rsidRPr="00695835">
              <w:rPr>
                <w:rFonts w:cs="Arial"/>
                <w:b/>
                <w:bCs/>
                <w:sz w:val="19"/>
                <w:szCs w:val="19"/>
              </w:rPr>
              <w:t>Portfolio Total</w:t>
            </w:r>
          </w:p>
        </w:tc>
        <w:tc>
          <w:tcPr>
            <w:tcW w:w="1469" w:type="dxa"/>
            <w:tcBorders>
              <w:top w:val="single" w:sz="4" w:space="0" w:color="auto"/>
              <w:left w:val="nil"/>
              <w:bottom w:val="dashed" w:sz="4" w:space="0" w:color="auto"/>
              <w:right w:val="single" w:sz="4" w:space="0" w:color="auto"/>
            </w:tcBorders>
            <w:shd w:val="clear" w:color="auto" w:fill="auto"/>
            <w:noWrap/>
            <w:vAlign w:val="bottom"/>
            <w:hideMark/>
          </w:tcPr>
          <w:p w14:paraId="0D258F99" w14:textId="77777777" w:rsidR="00866495" w:rsidRPr="00695835" w:rsidRDefault="00866495" w:rsidP="0070500D">
            <w:pPr>
              <w:jc w:val="right"/>
              <w:rPr>
                <w:rFonts w:cs="Arial"/>
                <w:b/>
                <w:bCs/>
                <w:sz w:val="19"/>
                <w:szCs w:val="19"/>
              </w:rPr>
            </w:pPr>
            <w:r w:rsidRPr="00695835">
              <w:rPr>
                <w:rFonts w:cs="Arial"/>
                <w:b/>
                <w:bCs/>
                <w:sz w:val="19"/>
                <w:szCs w:val="19"/>
              </w:rPr>
              <w:t>288,685</w:t>
            </w:r>
          </w:p>
        </w:tc>
        <w:tc>
          <w:tcPr>
            <w:tcW w:w="1398" w:type="dxa"/>
            <w:tcBorders>
              <w:top w:val="single" w:sz="4" w:space="0" w:color="auto"/>
              <w:left w:val="nil"/>
              <w:bottom w:val="dashed" w:sz="4" w:space="0" w:color="auto"/>
              <w:right w:val="single" w:sz="4" w:space="0" w:color="auto"/>
            </w:tcBorders>
            <w:shd w:val="clear" w:color="auto" w:fill="auto"/>
            <w:noWrap/>
            <w:vAlign w:val="bottom"/>
            <w:hideMark/>
          </w:tcPr>
          <w:p w14:paraId="75028DFC" w14:textId="77777777" w:rsidR="00866495" w:rsidRPr="00695835" w:rsidRDefault="00866495" w:rsidP="0070500D">
            <w:pPr>
              <w:jc w:val="right"/>
              <w:rPr>
                <w:rFonts w:cs="Arial"/>
                <w:b/>
                <w:bCs/>
                <w:sz w:val="19"/>
                <w:szCs w:val="19"/>
              </w:rPr>
            </w:pPr>
            <w:r w:rsidRPr="00695835">
              <w:rPr>
                <w:rFonts w:cs="Arial"/>
                <w:b/>
                <w:bCs/>
                <w:sz w:val="19"/>
                <w:szCs w:val="19"/>
              </w:rPr>
              <w:t>2,099.68</w:t>
            </w:r>
          </w:p>
        </w:tc>
      </w:tr>
      <w:tr w:rsidR="00866495" w:rsidRPr="00695835" w14:paraId="4D2D857A"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7A135E94" w14:textId="77777777" w:rsidR="00866495" w:rsidRPr="00695835" w:rsidRDefault="00866495" w:rsidP="0070500D">
            <w:pPr>
              <w:jc w:val="right"/>
              <w:rPr>
                <w:rFonts w:cs="Arial"/>
                <w:sz w:val="19"/>
                <w:szCs w:val="19"/>
              </w:rPr>
            </w:pPr>
            <w:r w:rsidRPr="00695835">
              <w:rPr>
                <w:rFonts w:cs="Arial"/>
                <w:sz w:val="19"/>
                <w:szCs w:val="19"/>
              </w:rPr>
              <w:t> </w:t>
            </w:r>
          </w:p>
        </w:tc>
        <w:tc>
          <w:tcPr>
            <w:tcW w:w="6817" w:type="dxa"/>
            <w:tcBorders>
              <w:top w:val="nil"/>
              <w:left w:val="nil"/>
              <w:bottom w:val="nil"/>
              <w:right w:val="single" w:sz="4" w:space="0" w:color="auto"/>
            </w:tcBorders>
            <w:shd w:val="clear" w:color="auto" w:fill="auto"/>
            <w:noWrap/>
            <w:vAlign w:val="bottom"/>
            <w:hideMark/>
          </w:tcPr>
          <w:p w14:paraId="5420576A" w14:textId="77777777" w:rsidR="00866495" w:rsidRPr="00695835" w:rsidRDefault="00866495" w:rsidP="0070500D">
            <w:pPr>
              <w:rPr>
                <w:rFonts w:ascii="Calibri" w:hAnsi="Calibri" w:cs="Calibri"/>
                <w:color w:val="000000"/>
                <w:sz w:val="19"/>
                <w:szCs w:val="19"/>
              </w:rPr>
            </w:pPr>
            <w:r w:rsidRPr="00695835">
              <w:rPr>
                <w:rFonts w:ascii="Calibri" w:hAnsi="Calibri" w:cs="Calibri"/>
                <w:noProof/>
                <w:color w:val="000000"/>
                <w:sz w:val="19"/>
                <w:szCs w:val="19"/>
              </w:rPr>
              <mc:AlternateContent>
                <mc:Choice Requires="wps">
                  <w:drawing>
                    <wp:anchor distT="0" distB="0" distL="114300" distR="114300" simplePos="0" relativeHeight="251659264" behindDoc="0" locked="0" layoutInCell="1" allowOverlap="1" wp14:anchorId="301F6BEF" wp14:editId="407C88C4">
                      <wp:simplePos x="0" y="0"/>
                      <wp:positionH relativeFrom="column">
                        <wp:posOffset>2369820</wp:posOffset>
                      </wp:positionH>
                      <wp:positionV relativeFrom="paragraph">
                        <wp:posOffset>861060</wp:posOffset>
                      </wp:positionV>
                      <wp:extent cx="175260" cy="236220"/>
                      <wp:effectExtent l="0" t="0" r="0" b="0"/>
                      <wp:wrapNone/>
                      <wp:docPr id="864458812" name="Text Box 1">
                        <a:extLst xmlns:a="http://schemas.openxmlformats.org/drawingml/2006/main">
                          <a:ext uri="{FF2B5EF4-FFF2-40B4-BE49-F238E27FC236}">
                            <a16:creationId xmlns:a16="http://schemas.microsoft.com/office/drawing/2014/main" id="{81C77D8E-8CCC-498C-BE0B-2688B5097B05}"/>
                          </a:ext>
                        </a:extLst>
                      </wp:docPr>
                      <wp:cNvGraphicFramePr/>
                      <a:graphic xmlns:a="http://schemas.openxmlformats.org/drawingml/2006/main">
                        <a:graphicData uri="http://schemas.microsoft.com/office/word/2010/wordprocessingShape">
                          <wps:wsp>
                            <wps:cNvSpPr txBox="1"/>
                            <wps:spPr>
                              <a:xfrm>
                                <a:off x="0" y="0"/>
                                <a:ext cx="166145" cy="236682"/>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type w14:anchorId="57D9DE28" id="_x0000_t202" coordsize="21600,21600" o:spt="202" path="m,l,21600r21600,l21600,xe">
                      <v:stroke joinstyle="miter"/>
                      <v:path gradientshapeok="t" o:connecttype="rect"/>
                    </v:shapetype>
                    <v:shape id="Text Box 1" o:spid="_x0000_s1026" type="#_x0000_t202" style="position:absolute;margin-left:186.6pt;margin-top:67.8pt;width:13.8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596"/>
            </w:tblGrid>
            <w:tr w:rsidR="00866495" w:rsidRPr="00695835" w14:paraId="0FE67970" w14:textId="77777777" w:rsidTr="0070500D">
              <w:trPr>
                <w:trHeight w:val="256"/>
                <w:tblCellSpacing w:w="0" w:type="dxa"/>
              </w:trPr>
              <w:tc>
                <w:tcPr>
                  <w:tcW w:w="6596" w:type="dxa"/>
                  <w:shd w:val="clear" w:color="auto" w:fill="auto"/>
                  <w:noWrap/>
                  <w:vAlign w:val="bottom"/>
                  <w:hideMark/>
                </w:tcPr>
                <w:p w14:paraId="77C65CE3" w14:textId="77777777" w:rsidR="00866495" w:rsidRPr="00695835" w:rsidRDefault="00866495" w:rsidP="00A20E30">
                  <w:pPr>
                    <w:framePr w:hSpace="180" w:wrap="around" w:vAnchor="text" w:hAnchor="margin" w:y="100"/>
                    <w:rPr>
                      <w:rFonts w:cs="Arial"/>
                      <w:sz w:val="19"/>
                      <w:szCs w:val="19"/>
                    </w:rPr>
                  </w:pPr>
                  <w:r w:rsidRPr="00695835">
                    <w:rPr>
                      <w:rFonts w:cs="Arial"/>
                      <w:sz w:val="19"/>
                      <w:szCs w:val="19"/>
                    </w:rPr>
                    <w:t> </w:t>
                  </w:r>
                </w:p>
              </w:tc>
            </w:tr>
          </w:tbl>
          <w:p w14:paraId="17CD72AA" w14:textId="77777777" w:rsidR="00866495" w:rsidRPr="00695835" w:rsidRDefault="00866495" w:rsidP="0070500D">
            <w:pPr>
              <w:rPr>
                <w:rFonts w:ascii="Calibri" w:hAnsi="Calibri" w:cs="Calibri"/>
                <w:color w:val="000000"/>
                <w:sz w:val="19"/>
                <w:szCs w:val="19"/>
              </w:rPr>
            </w:pPr>
          </w:p>
        </w:tc>
        <w:tc>
          <w:tcPr>
            <w:tcW w:w="1469" w:type="dxa"/>
            <w:tcBorders>
              <w:top w:val="nil"/>
              <w:left w:val="single" w:sz="4" w:space="0" w:color="auto"/>
              <w:bottom w:val="nil"/>
              <w:right w:val="single" w:sz="4" w:space="0" w:color="auto"/>
            </w:tcBorders>
            <w:shd w:val="clear" w:color="auto" w:fill="auto"/>
            <w:noWrap/>
            <w:vAlign w:val="bottom"/>
            <w:hideMark/>
          </w:tcPr>
          <w:p w14:paraId="3FB4A758" w14:textId="77777777" w:rsidR="00866495" w:rsidRPr="00695835" w:rsidRDefault="00866495" w:rsidP="0070500D">
            <w:pPr>
              <w:jc w:val="right"/>
              <w:rPr>
                <w:rFonts w:cs="Arial"/>
                <w:sz w:val="19"/>
                <w:szCs w:val="19"/>
              </w:rPr>
            </w:pPr>
            <w:r w:rsidRPr="00695835">
              <w:rPr>
                <w:rFonts w:cs="Arial"/>
                <w:sz w:val="19"/>
                <w:szCs w:val="19"/>
              </w:rPr>
              <w:t> </w:t>
            </w:r>
          </w:p>
        </w:tc>
        <w:tc>
          <w:tcPr>
            <w:tcW w:w="1398" w:type="dxa"/>
            <w:tcBorders>
              <w:top w:val="nil"/>
              <w:left w:val="nil"/>
              <w:bottom w:val="nil"/>
              <w:right w:val="single" w:sz="4" w:space="0" w:color="auto"/>
            </w:tcBorders>
            <w:shd w:val="clear" w:color="auto" w:fill="auto"/>
            <w:noWrap/>
            <w:vAlign w:val="bottom"/>
            <w:hideMark/>
          </w:tcPr>
          <w:p w14:paraId="1084AEAB" w14:textId="77777777" w:rsidR="00866495" w:rsidRPr="00695835" w:rsidRDefault="00866495" w:rsidP="0070500D">
            <w:pPr>
              <w:jc w:val="right"/>
              <w:rPr>
                <w:rFonts w:cs="Arial"/>
                <w:sz w:val="19"/>
                <w:szCs w:val="19"/>
              </w:rPr>
            </w:pPr>
            <w:r w:rsidRPr="00695835">
              <w:rPr>
                <w:rFonts w:cs="Arial"/>
                <w:sz w:val="19"/>
                <w:szCs w:val="19"/>
              </w:rPr>
              <w:t> </w:t>
            </w:r>
          </w:p>
        </w:tc>
      </w:tr>
      <w:tr w:rsidR="00866495" w:rsidRPr="00695835" w14:paraId="12966ACD"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66666B5D" w14:textId="77777777" w:rsidR="00866495" w:rsidRPr="00695835" w:rsidRDefault="00866495" w:rsidP="0070500D">
            <w:pPr>
              <w:jc w:val="right"/>
              <w:rPr>
                <w:rFonts w:cs="Arial"/>
                <w:sz w:val="19"/>
                <w:szCs w:val="19"/>
              </w:rPr>
            </w:pPr>
            <w:r w:rsidRPr="00695835">
              <w:rPr>
                <w:rFonts w:cs="Arial"/>
                <w:sz w:val="19"/>
                <w:szCs w:val="19"/>
              </w:rPr>
              <w:t>Cr       10,184</w:t>
            </w:r>
          </w:p>
        </w:tc>
        <w:tc>
          <w:tcPr>
            <w:tcW w:w="6817" w:type="dxa"/>
            <w:tcBorders>
              <w:top w:val="nil"/>
              <w:left w:val="nil"/>
              <w:bottom w:val="nil"/>
              <w:right w:val="single" w:sz="4" w:space="0" w:color="auto"/>
            </w:tcBorders>
            <w:shd w:val="clear" w:color="auto" w:fill="auto"/>
            <w:noWrap/>
            <w:vAlign w:val="bottom"/>
            <w:hideMark/>
          </w:tcPr>
          <w:p w14:paraId="0231CB05" w14:textId="77777777" w:rsidR="00866495" w:rsidRPr="00695835" w:rsidRDefault="00866495" w:rsidP="0070500D">
            <w:pPr>
              <w:rPr>
                <w:rFonts w:cs="Arial"/>
                <w:sz w:val="19"/>
                <w:szCs w:val="19"/>
              </w:rPr>
            </w:pPr>
            <w:r w:rsidRPr="00695835">
              <w:rPr>
                <w:rFonts w:cs="Arial"/>
                <w:sz w:val="19"/>
                <w:szCs w:val="19"/>
              </w:rPr>
              <w:t>Reversal of Net Capital Charges</w:t>
            </w:r>
          </w:p>
        </w:tc>
        <w:tc>
          <w:tcPr>
            <w:tcW w:w="1469" w:type="dxa"/>
            <w:tcBorders>
              <w:top w:val="nil"/>
              <w:left w:val="nil"/>
              <w:bottom w:val="nil"/>
              <w:right w:val="single" w:sz="4" w:space="0" w:color="auto"/>
            </w:tcBorders>
            <w:shd w:val="clear" w:color="auto" w:fill="auto"/>
            <w:noWrap/>
            <w:vAlign w:val="bottom"/>
            <w:hideMark/>
          </w:tcPr>
          <w:p w14:paraId="4B463870" w14:textId="77777777" w:rsidR="00866495" w:rsidRPr="00695835" w:rsidRDefault="00866495" w:rsidP="0070500D">
            <w:pPr>
              <w:jc w:val="right"/>
              <w:rPr>
                <w:rFonts w:cs="Arial"/>
                <w:sz w:val="19"/>
                <w:szCs w:val="19"/>
              </w:rPr>
            </w:pPr>
            <w:r w:rsidRPr="00695835">
              <w:rPr>
                <w:rFonts w:cs="Arial"/>
                <w:sz w:val="19"/>
                <w:szCs w:val="19"/>
              </w:rPr>
              <w:t>Cr         7,775</w:t>
            </w:r>
          </w:p>
        </w:tc>
        <w:tc>
          <w:tcPr>
            <w:tcW w:w="1398" w:type="dxa"/>
            <w:tcBorders>
              <w:top w:val="nil"/>
              <w:left w:val="nil"/>
              <w:bottom w:val="nil"/>
              <w:right w:val="single" w:sz="4" w:space="0" w:color="auto"/>
            </w:tcBorders>
            <w:shd w:val="clear" w:color="auto" w:fill="auto"/>
            <w:noWrap/>
            <w:vAlign w:val="bottom"/>
            <w:hideMark/>
          </w:tcPr>
          <w:p w14:paraId="5FEFEE50" w14:textId="77777777" w:rsidR="00866495" w:rsidRPr="00695835" w:rsidRDefault="00866495" w:rsidP="0070500D">
            <w:pPr>
              <w:jc w:val="right"/>
              <w:rPr>
                <w:rFonts w:cs="Arial"/>
                <w:sz w:val="19"/>
                <w:szCs w:val="19"/>
              </w:rPr>
            </w:pPr>
            <w:r w:rsidRPr="00695835">
              <w:rPr>
                <w:rFonts w:cs="Arial"/>
                <w:sz w:val="19"/>
                <w:szCs w:val="19"/>
              </w:rPr>
              <w:t>-56.55</w:t>
            </w:r>
          </w:p>
        </w:tc>
      </w:tr>
      <w:tr w:rsidR="00866495" w:rsidRPr="00695835" w14:paraId="365F12AE"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2F8BF7FD" w14:textId="77777777" w:rsidR="00866495" w:rsidRPr="00695835" w:rsidRDefault="00866495" w:rsidP="0070500D">
            <w:pPr>
              <w:jc w:val="right"/>
              <w:rPr>
                <w:rFonts w:cs="Arial"/>
                <w:sz w:val="19"/>
                <w:szCs w:val="19"/>
              </w:rPr>
            </w:pPr>
            <w:r w:rsidRPr="00695835">
              <w:rPr>
                <w:rFonts w:cs="Arial"/>
                <w:sz w:val="19"/>
                <w:szCs w:val="19"/>
              </w:rPr>
              <w:t>Cr       12,041</w:t>
            </w:r>
          </w:p>
        </w:tc>
        <w:tc>
          <w:tcPr>
            <w:tcW w:w="6817" w:type="dxa"/>
            <w:tcBorders>
              <w:top w:val="nil"/>
              <w:left w:val="nil"/>
              <w:bottom w:val="nil"/>
              <w:right w:val="single" w:sz="4" w:space="0" w:color="auto"/>
            </w:tcBorders>
            <w:shd w:val="clear" w:color="auto" w:fill="auto"/>
            <w:noWrap/>
            <w:vAlign w:val="bottom"/>
            <w:hideMark/>
          </w:tcPr>
          <w:p w14:paraId="27B5839F" w14:textId="77777777" w:rsidR="00866495" w:rsidRPr="00695835" w:rsidRDefault="00866495" w:rsidP="0070500D">
            <w:pPr>
              <w:rPr>
                <w:rFonts w:cs="Arial"/>
                <w:sz w:val="19"/>
                <w:szCs w:val="19"/>
              </w:rPr>
            </w:pPr>
            <w:r w:rsidRPr="00695835">
              <w:rPr>
                <w:rFonts w:cs="Arial"/>
                <w:sz w:val="19"/>
                <w:szCs w:val="19"/>
              </w:rPr>
              <w:t>Interest on General Fund Balances</w:t>
            </w:r>
          </w:p>
        </w:tc>
        <w:tc>
          <w:tcPr>
            <w:tcW w:w="1469" w:type="dxa"/>
            <w:tcBorders>
              <w:top w:val="nil"/>
              <w:left w:val="nil"/>
              <w:bottom w:val="nil"/>
              <w:right w:val="single" w:sz="4" w:space="0" w:color="auto"/>
            </w:tcBorders>
            <w:shd w:val="clear" w:color="auto" w:fill="auto"/>
            <w:noWrap/>
            <w:vAlign w:val="bottom"/>
            <w:hideMark/>
          </w:tcPr>
          <w:p w14:paraId="79873503" w14:textId="77777777" w:rsidR="00866495" w:rsidRPr="00695835" w:rsidRDefault="00866495" w:rsidP="0070500D">
            <w:pPr>
              <w:jc w:val="right"/>
              <w:rPr>
                <w:rFonts w:cs="Arial"/>
                <w:sz w:val="19"/>
                <w:szCs w:val="19"/>
              </w:rPr>
            </w:pPr>
            <w:r w:rsidRPr="00695835">
              <w:rPr>
                <w:rFonts w:cs="Arial"/>
                <w:sz w:val="19"/>
                <w:szCs w:val="19"/>
              </w:rPr>
              <w:t>Cr         8,241</w:t>
            </w:r>
          </w:p>
        </w:tc>
        <w:tc>
          <w:tcPr>
            <w:tcW w:w="1398" w:type="dxa"/>
            <w:tcBorders>
              <w:top w:val="nil"/>
              <w:left w:val="nil"/>
              <w:bottom w:val="nil"/>
              <w:right w:val="single" w:sz="4" w:space="0" w:color="auto"/>
            </w:tcBorders>
            <w:shd w:val="clear" w:color="auto" w:fill="auto"/>
            <w:noWrap/>
            <w:vAlign w:val="bottom"/>
            <w:hideMark/>
          </w:tcPr>
          <w:p w14:paraId="5309B484" w14:textId="77777777" w:rsidR="00866495" w:rsidRPr="00695835" w:rsidRDefault="00866495" w:rsidP="0070500D">
            <w:pPr>
              <w:jc w:val="right"/>
              <w:rPr>
                <w:rFonts w:cs="Arial"/>
                <w:sz w:val="19"/>
                <w:szCs w:val="19"/>
              </w:rPr>
            </w:pPr>
            <w:r w:rsidRPr="00695835">
              <w:rPr>
                <w:rFonts w:cs="Arial"/>
                <w:sz w:val="19"/>
                <w:szCs w:val="19"/>
              </w:rPr>
              <w:t>-59.94</w:t>
            </w:r>
          </w:p>
        </w:tc>
      </w:tr>
      <w:tr w:rsidR="00866495" w:rsidRPr="00695835" w14:paraId="098AC3BE"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785C782C" w14:textId="77777777" w:rsidR="00866495" w:rsidRPr="00695835" w:rsidRDefault="00866495" w:rsidP="0070500D">
            <w:pPr>
              <w:jc w:val="right"/>
              <w:rPr>
                <w:rFonts w:cs="Arial"/>
                <w:sz w:val="19"/>
                <w:szCs w:val="19"/>
              </w:rPr>
            </w:pPr>
            <w:r w:rsidRPr="00695835">
              <w:rPr>
                <w:rFonts w:cs="Arial"/>
                <w:sz w:val="19"/>
                <w:szCs w:val="19"/>
              </w:rPr>
              <w:t>9,851</w:t>
            </w:r>
          </w:p>
        </w:tc>
        <w:tc>
          <w:tcPr>
            <w:tcW w:w="6817" w:type="dxa"/>
            <w:tcBorders>
              <w:top w:val="nil"/>
              <w:left w:val="nil"/>
              <w:bottom w:val="nil"/>
              <w:right w:val="single" w:sz="4" w:space="0" w:color="auto"/>
            </w:tcBorders>
            <w:shd w:val="clear" w:color="auto" w:fill="auto"/>
            <w:noWrap/>
            <w:vAlign w:val="bottom"/>
            <w:hideMark/>
          </w:tcPr>
          <w:p w14:paraId="0E7B1D75" w14:textId="77777777" w:rsidR="00866495" w:rsidRPr="00695835" w:rsidRDefault="00866495" w:rsidP="0070500D">
            <w:pPr>
              <w:rPr>
                <w:rFonts w:cs="Arial"/>
                <w:sz w:val="19"/>
                <w:szCs w:val="19"/>
              </w:rPr>
            </w:pPr>
            <w:r w:rsidRPr="00695835">
              <w:rPr>
                <w:rFonts w:cs="Arial"/>
                <w:sz w:val="19"/>
                <w:szCs w:val="19"/>
              </w:rPr>
              <w:t>Central Contingency Sum</w:t>
            </w:r>
          </w:p>
        </w:tc>
        <w:tc>
          <w:tcPr>
            <w:tcW w:w="1469" w:type="dxa"/>
            <w:tcBorders>
              <w:top w:val="nil"/>
              <w:left w:val="nil"/>
              <w:bottom w:val="nil"/>
              <w:right w:val="single" w:sz="4" w:space="0" w:color="auto"/>
            </w:tcBorders>
            <w:shd w:val="clear" w:color="auto" w:fill="auto"/>
            <w:noWrap/>
            <w:vAlign w:val="bottom"/>
            <w:hideMark/>
          </w:tcPr>
          <w:p w14:paraId="2425D385" w14:textId="77777777" w:rsidR="00866495" w:rsidRPr="00695835" w:rsidRDefault="00866495" w:rsidP="0070500D">
            <w:pPr>
              <w:jc w:val="right"/>
              <w:rPr>
                <w:rFonts w:cs="Arial"/>
                <w:sz w:val="19"/>
                <w:szCs w:val="19"/>
              </w:rPr>
            </w:pPr>
            <w:r w:rsidRPr="00695835">
              <w:rPr>
                <w:rFonts w:cs="Arial"/>
                <w:sz w:val="19"/>
                <w:szCs w:val="19"/>
              </w:rPr>
              <w:t>7,494</w:t>
            </w:r>
          </w:p>
        </w:tc>
        <w:tc>
          <w:tcPr>
            <w:tcW w:w="1398" w:type="dxa"/>
            <w:tcBorders>
              <w:top w:val="nil"/>
              <w:left w:val="nil"/>
              <w:bottom w:val="nil"/>
              <w:right w:val="single" w:sz="4" w:space="0" w:color="auto"/>
            </w:tcBorders>
            <w:shd w:val="clear" w:color="auto" w:fill="auto"/>
            <w:noWrap/>
            <w:vAlign w:val="bottom"/>
            <w:hideMark/>
          </w:tcPr>
          <w:p w14:paraId="5A3049C4" w14:textId="77777777" w:rsidR="00866495" w:rsidRPr="00695835" w:rsidRDefault="00866495" w:rsidP="0070500D">
            <w:pPr>
              <w:jc w:val="right"/>
              <w:rPr>
                <w:rFonts w:cs="Arial"/>
                <w:sz w:val="19"/>
                <w:szCs w:val="19"/>
              </w:rPr>
            </w:pPr>
            <w:r w:rsidRPr="00695835">
              <w:rPr>
                <w:rFonts w:cs="Arial"/>
                <w:sz w:val="19"/>
                <w:szCs w:val="19"/>
              </w:rPr>
              <w:t>54.51</w:t>
            </w:r>
          </w:p>
        </w:tc>
      </w:tr>
      <w:tr w:rsidR="00866495" w:rsidRPr="00695835" w14:paraId="0B33E475" w14:textId="77777777" w:rsidTr="0070500D">
        <w:trPr>
          <w:trHeight w:val="513"/>
        </w:trPr>
        <w:tc>
          <w:tcPr>
            <w:tcW w:w="1490" w:type="dxa"/>
            <w:tcBorders>
              <w:top w:val="nil"/>
              <w:left w:val="single" w:sz="4" w:space="0" w:color="auto"/>
              <w:bottom w:val="nil"/>
              <w:right w:val="single" w:sz="4" w:space="0" w:color="auto"/>
            </w:tcBorders>
            <w:shd w:val="clear" w:color="auto" w:fill="auto"/>
            <w:noWrap/>
            <w:vAlign w:val="bottom"/>
            <w:hideMark/>
          </w:tcPr>
          <w:p w14:paraId="2B83F3D7" w14:textId="77777777" w:rsidR="00866495" w:rsidRPr="00695835" w:rsidRDefault="00866495" w:rsidP="0070500D">
            <w:pPr>
              <w:jc w:val="right"/>
              <w:rPr>
                <w:rFonts w:cs="Arial"/>
                <w:sz w:val="19"/>
                <w:szCs w:val="19"/>
              </w:rPr>
            </w:pPr>
            <w:r w:rsidRPr="00695835">
              <w:rPr>
                <w:rFonts w:cs="Arial"/>
                <w:sz w:val="19"/>
                <w:szCs w:val="19"/>
              </w:rPr>
              <w:t>2,000</w:t>
            </w:r>
          </w:p>
        </w:tc>
        <w:tc>
          <w:tcPr>
            <w:tcW w:w="6817" w:type="dxa"/>
            <w:tcBorders>
              <w:top w:val="nil"/>
              <w:left w:val="nil"/>
              <w:bottom w:val="nil"/>
              <w:right w:val="single" w:sz="4" w:space="0" w:color="auto"/>
            </w:tcBorders>
            <w:shd w:val="clear" w:color="auto" w:fill="auto"/>
            <w:vAlign w:val="bottom"/>
            <w:hideMark/>
          </w:tcPr>
          <w:p w14:paraId="002E5235" w14:textId="77777777" w:rsidR="00866495" w:rsidRPr="00695835" w:rsidRDefault="00866495" w:rsidP="0070500D">
            <w:pPr>
              <w:rPr>
                <w:rFonts w:cs="Arial"/>
                <w:sz w:val="19"/>
                <w:szCs w:val="19"/>
              </w:rPr>
            </w:pPr>
            <w:r w:rsidRPr="00695835">
              <w:rPr>
                <w:rFonts w:cs="Arial"/>
                <w:sz w:val="19"/>
                <w:szCs w:val="19"/>
              </w:rPr>
              <w:t>Contingency Provision for Revenue Impact of Capital Programme Financing and Loss of Investment Income from Disposals</w:t>
            </w:r>
          </w:p>
        </w:tc>
        <w:tc>
          <w:tcPr>
            <w:tcW w:w="1469" w:type="dxa"/>
            <w:tcBorders>
              <w:top w:val="nil"/>
              <w:left w:val="nil"/>
              <w:bottom w:val="nil"/>
              <w:right w:val="single" w:sz="4" w:space="0" w:color="auto"/>
            </w:tcBorders>
            <w:shd w:val="clear" w:color="auto" w:fill="auto"/>
            <w:noWrap/>
            <w:vAlign w:val="bottom"/>
            <w:hideMark/>
          </w:tcPr>
          <w:p w14:paraId="0C14593B" w14:textId="77777777" w:rsidR="00866495" w:rsidRPr="00695835" w:rsidRDefault="00866495" w:rsidP="0070500D">
            <w:pPr>
              <w:jc w:val="right"/>
              <w:rPr>
                <w:rFonts w:cs="Arial"/>
                <w:sz w:val="19"/>
                <w:szCs w:val="19"/>
              </w:rPr>
            </w:pPr>
            <w:r w:rsidRPr="00695835">
              <w:rPr>
                <w:rFonts w:cs="Arial"/>
                <w:sz w:val="19"/>
                <w:szCs w:val="19"/>
              </w:rPr>
              <w:t>2,500</w:t>
            </w:r>
          </w:p>
        </w:tc>
        <w:tc>
          <w:tcPr>
            <w:tcW w:w="1398" w:type="dxa"/>
            <w:tcBorders>
              <w:top w:val="nil"/>
              <w:left w:val="nil"/>
              <w:bottom w:val="nil"/>
              <w:right w:val="single" w:sz="4" w:space="0" w:color="auto"/>
            </w:tcBorders>
            <w:shd w:val="clear" w:color="auto" w:fill="auto"/>
            <w:noWrap/>
            <w:vAlign w:val="bottom"/>
            <w:hideMark/>
          </w:tcPr>
          <w:p w14:paraId="03AFD2BA" w14:textId="77777777" w:rsidR="00866495" w:rsidRPr="00695835" w:rsidRDefault="00866495" w:rsidP="0070500D">
            <w:pPr>
              <w:jc w:val="right"/>
              <w:rPr>
                <w:rFonts w:cs="Arial"/>
                <w:sz w:val="19"/>
                <w:szCs w:val="19"/>
              </w:rPr>
            </w:pPr>
            <w:r w:rsidRPr="00695835">
              <w:rPr>
                <w:rFonts w:cs="Arial"/>
                <w:sz w:val="19"/>
                <w:szCs w:val="19"/>
              </w:rPr>
              <w:t>18.18</w:t>
            </w:r>
          </w:p>
        </w:tc>
      </w:tr>
      <w:tr w:rsidR="00866495" w:rsidRPr="00695835" w14:paraId="4A0118C7"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60D01E3E" w14:textId="77777777" w:rsidR="00866495" w:rsidRPr="00695835" w:rsidRDefault="00866495" w:rsidP="0070500D">
            <w:pPr>
              <w:jc w:val="right"/>
              <w:rPr>
                <w:rFonts w:cs="Arial"/>
                <w:sz w:val="19"/>
                <w:szCs w:val="19"/>
              </w:rPr>
            </w:pPr>
            <w:r w:rsidRPr="00695835">
              <w:rPr>
                <w:rFonts w:cs="Arial"/>
                <w:sz w:val="19"/>
                <w:szCs w:val="19"/>
              </w:rPr>
              <w:t> </w:t>
            </w:r>
          </w:p>
        </w:tc>
        <w:tc>
          <w:tcPr>
            <w:tcW w:w="6817" w:type="dxa"/>
            <w:tcBorders>
              <w:top w:val="nil"/>
              <w:left w:val="nil"/>
              <w:bottom w:val="nil"/>
              <w:right w:val="single" w:sz="4" w:space="0" w:color="auto"/>
            </w:tcBorders>
            <w:shd w:val="clear" w:color="auto" w:fill="auto"/>
            <w:noWrap/>
            <w:vAlign w:val="bottom"/>
            <w:hideMark/>
          </w:tcPr>
          <w:p w14:paraId="2B251D3D" w14:textId="77777777" w:rsidR="00866495" w:rsidRPr="00695835" w:rsidRDefault="00866495" w:rsidP="0070500D">
            <w:pPr>
              <w:rPr>
                <w:rFonts w:cs="Arial"/>
                <w:sz w:val="19"/>
                <w:szCs w:val="19"/>
              </w:rPr>
            </w:pPr>
            <w:r w:rsidRPr="00695835">
              <w:rPr>
                <w:rFonts w:cs="Arial"/>
                <w:sz w:val="19"/>
                <w:szCs w:val="19"/>
              </w:rPr>
              <w:t> </w:t>
            </w:r>
          </w:p>
        </w:tc>
        <w:tc>
          <w:tcPr>
            <w:tcW w:w="1469" w:type="dxa"/>
            <w:tcBorders>
              <w:top w:val="nil"/>
              <w:left w:val="nil"/>
              <w:bottom w:val="nil"/>
              <w:right w:val="single" w:sz="4" w:space="0" w:color="auto"/>
            </w:tcBorders>
            <w:shd w:val="clear" w:color="auto" w:fill="auto"/>
            <w:noWrap/>
            <w:vAlign w:val="bottom"/>
            <w:hideMark/>
          </w:tcPr>
          <w:p w14:paraId="49DF66DB" w14:textId="77777777" w:rsidR="00866495" w:rsidRPr="00695835" w:rsidRDefault="00866495" w:rsidP="0070500D">
            <w:pPr>
              <w:jc w:val="right"/>
              <w:rPr>
                <w:rFonts w:cs="Arial"/>
                <w:sz w:val="19"/>
                <w:szCs w:val="19"/>
              </w:rPr>
            </w:pPr>
            <w:r w:rsidRPr="00695835">
              <w:rPr>
                <w:rFonts w:cs="Arial"/>
                <w:sz w:val="19"/>
                <w:szCs w:val="19"/>
              </w:rPr>
              <w:t> </w:t>
            </w:r>
          </w:p>
        </w:tc>
        <w:tc>
          <w:tcPr>
            <w:tcW w:w="1398" w:type="dxa"/>
            <w:tcBorders>
              <w:top w:val="nil"/>
              <w:left w:val="nil"/>
              <w:bottom w:val="nil"/>
              <w:right w:val="single" w:sz="4" w:space="0" w:color="auto"/>
            </w:tcBorders>
            <w:shd w:val="clear" w:color="auto" w:fill="auto"/>
            <w:noWrap/>
            <w:vAlign w:val="bottom"/>
            <w:hideMark/>
          </w:tcPr>
          <w:p w14:paraId="1A79B428" w14:textId="77777777" w:rsidR="00866495" w:rsidRPr="00695835" w:rsidRDefault="00866495" w:rsidP="0070500D">
            <w:pPr>
              <w:jc w:val="right"/>
              <w:rPr>
                <w:rFonts w:cs="Arial"/>
                <w:sz w:val="19"/>
                <w:szCs w:val="19"/>
              </w:rPr>
            </w:pPr>
            <w:r w:rsidRPr="00695835">
              <w:rPr>
                <w:rFonts w:cs="Arial"/>
                <w:sz w:val="19"/>
                <w:szCs w:val="19"/>
              </w:rPr>
              <w:t> </w:t>
            </w:r>
          </w:p>
        </w:tc>
      </w:tr>
      <w:tr w:rsidR="00866495" w:rsidRPr="00695835" w14:paraId="1AAA7866"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2720779D" w14:textId="77777777" w:rsidR="00866495" w:rsidRPr="00695835" w:rsidRDefault="00866495" w:rsidP="0070500D">
            <w:pPr>
              <w:jc w:val="right"/>
              <w:rPr>
                <w:rFonts w:cs="Arial"/>
                <w:sz w:val="19"/>
                <w:szCs w:val="19"/>
              </w:rPr>
            </w:pPr>
            <w:r w:rsidRPr="00695835">
              <w:rPr>
                <w:rFonts w:cs="Arial"/>
                <w:sz w:val="19"/>
                <w:szCs w:val="19"/>
              </w:rPr>
              <w:t> </w:t>
            </w:r>
          </w:p>
        </w:tc>
        <w:tc>
          <w:tcPr>
            <w:tcW w:w="6817" w:type="dxa"/>
            <w:tcBorders>
              <w:top w:val="nil"/>
              <w:left w:val="nil"/>
              <w:bottom w:val="nil"/>
              <w:right w:val="single" w:sz="4" w:space="0" w:color="auto"/>
            </w:tcBorders>
            <w:shd w:val="clear" w:color="auto" w:fill="auto"/>
            <w:noWrap/>
            <w:vAlign w:val="bottom"/>
            <w:hideMark/>
          </w:tcPr>
          <w:p w14:paraId="23999C67" w14:textId="77777777" w:rsidR="00866495" w:rsidRPr="00695835" w:rsidRDefault="00866495" w:rsidP="0070500D">
            <w:pPr>
              <w:rPr>
                <w:rFonts w:cs="Arial"/>
                <w:sz w:val="19"/>
                <w:szCs w:val="19"/>
              </w:rPr>
            </w:pPr>
            <w:r w:rsidRPr="00695835">
              <w:rPr>
                <w:rFonts w:cs="Arial"/>
                <w:sz w:val="19"/>
                <w:szCs w:val="19"/>
              </w:rPr>
              <w:t>Levies</w:t>
            </w:r>
          </w:p>
        </w:tc>
        <w:tc>
          <w:tcPr>
            <w:tcW w:w="1469" w:type="dxa"/>
            <w:tcBorders>
              <w:top w:val="nil"/>
              <w:left w:val="nil"/>
              <w:bottom w:val="nil"/>
              <w:right w:val="single" w:sz="4" w:space="0" w:color="auto"/>
            </w:tcBorders>
            <w:shd w:val="clear" w:color="auto" w:fill="auto"/>
            <w:noWrap/>
            <w:vAlign w:val="bottom"/>
            <w:hideMark/>
          </w:tcPr>
          <w:p w14:paraId="5711D124" w14:textId="77777777" w:rsidR="00866495" w:rsidRPr="00695835" w:rsidRDefault="00866495" w:rsidP="0070500D">
            <w:pPr>
              <w:jc w:val="right"/>
              <w:rPr>
                <w:rFonts w:cs="Arial"/>
                <w:sz w:val="19"/>
                <w:szCs w:val="19"/>
              </w:rPr>
            </w:pPr>
            <w:r w:rsidRPr="00695835">
              <w:rPr>
                <w:rFonts w:cs="Arial"/>
                <w:sz w:val="19"/>
                <w:szCs w:val="19"/>
              </w:rPr>
              <w:t> </w:t>
            </w:r>
          </w:p>
        </w:tc>
        <w:tc>
          <w:tcPr>
            <w:tcW w:w="1398" w:type="dxa"/>
            <w:tcBorders>
              <w:top w:val="nil"/>
              <w:left w:val="nil"/>
              <w:bottom w:val="nil"/>
              <w:right w:val="single" w:sz="4" w:space="0" w:color="auto"/>
            </w:tcBorders>
            <w:shd w:val="clear" w:color="auto" w:fill="auto"/>
            <w:noWrap/>
            <w:vAlign w:val="bottom"/>
            <w:hideMark/>
          </w:tcPr>
          <w:p w14:paraId="619134FB" w14:textId="77777777" w:rsidR="00866495" w:rsidRPr="00695835" w:rsidRDefault="00866495" w:rsidP="0070500D">
            <w:pPr>
              <w:jc w:val="right"/>
              <w:rPr>
                <w:rFonts w:cs="Arial"/>
                <w:sz w:val="19"/>
                <w:szCs w:val="19"/>
              </w:rPr>
            </w:pPr>
            <w:r w:rsidRPr="00695835">
              <w:rPr>
                <w:rFonts w:cs="Arial"/>
                <w:sz w:val="19"/>
                <w:szCs w:val="19"/>
              </w:rPr>
              <w:t> </w:t>
            </w:r>
          </w:p>
        </w:tc>
      </w:tr>
      <w:tr w:rsidR="00866495" w:rsidRPr="00695835" w14:paraId="689514E2" w14:textId="77777777" w:rsidTr="0070500D">
        <w:trPr>
          <w:trHeight w:val="244"/>
        </w:trPr>
        <w:tc>
          <w:tcPr>
            <w:tcW w:w="1490" w:type="dxa"/>
            <w:tcBorders>
              <w:top w:val="nil"/>
              <w:left w:val="single" w:sz="4" w:space="0" w:color="auto"/>
              <w:bottom w:val="nil"/>
              <w:right w:val="single" w:sz="4" w:space="0" w:color="auto"/>
            </w:tcBorders>
            <w:shd w:val="clear" w:color="auto" w:fill="auto"/>
            <w:noWrap/>
            <w:vAlign w:val="bottom"/>
            <w:hideMark/>
          </w:tcPr>
          <w:p w14:paraId="18D99429" w14:textId="77777777" w:rsidR="00866495" w:rsidRPr="00695835" w:rsidRDefault="00866495" w:rsidP="0070500D">
            <w:pPr>
              <w:jc w:val="right"/>
              <w:rPr>
                <w:rFonts w:cs="Arial"/>
                <w:sz w:val="19"/>
                <w:szCs w:val="19"/>
              </w:rPr>
            </w:pPr>
            <w:r w:rsidRPr="00695835">
              <w:rPr>
                <w:rFonts w:cs="Arial"/>
                <w:sz w:val="19"/>
                <w:szCs w:val="19"/>
              </w:rPr>
              <w:t>448</w:t>
            </w:r>
          </w:p>
        </w:tc>
        <w:tc>
          <w:tcPr>
            <w:tcW w:w="6817" w:type="dxa"/>
            <w:tcBorders>
              <w:top w:val="nil"/>
              <w:left w:val="nil"/>
              <w:bottom w:val="nil"/>
              <w:right w:val="single" w:sz="4" w:space="0" w:color="auto"/>
            </w:tcBorders>
            <w:shd w:val="clear" w:color="auto" w:fill="auto"/>
            <w:noWrap/>
            <w:vAlign w:val="bottom"/>
            <w:hideMark/>
          </w:tcPr>
          <w:p w14:paraId="6E1597B9" w14:textId="77777777" w:rsidR="00866495" w:rsidRPr="00695835" w:rsidRDefault="00866495" w:rsidP="0070500D">
            <w:pPr>
              <w:rPr>
                <w:rFonts w:cs="Arial"/>
                <w:sz w:val="19"/>
                <w:szCs w:val="19"/>
              </w:rPr>
            </w:pPr>
            <w:r w:rsidRPr="00695835">
              <w:rPr>
                <w:rFonts w:cs="Arial"/>
                <w:sz w:val="19"/>
                <w:szCs w:val="19"/>
              </w:rPr>
              <w:t xml:space="preserve"> - London Pensions Fund Authority</w:t>
            </w:r>
          </w:p>
        </w:tc>
        <w:tc>
          <w:tcPr>
            <w:tcW w:w="1469" w:type="dxa"/>
            <w:tcBorders>
              <w:top w:val="nil"/>
              <w:left w:val="nil"/>
              <w:bottom w:val="nil"/>
              <w:right w:val="single" w:sz="4" w:space="0" w:color="auto"/>
            </w:tcBorders>
            <w:shd w:val="clear" w:color="auto" w:fill="auto"/>
            <w:noWrap/>
            <w:vAlign w:val="bottom"/>
            <w:hideMark/>
          </w:tcPr>
          <w:p w14:paraId="4D6A8234" w14:textId="77777777" w:rsidR="00866495" w:rsidRPr="00695835" w:rsidRDefault="00866495" w:rsidP="0070500D">
            <w:pPr>
              <w:jc w:val="right"/>
              <w:rPr>
                <w:rFonts w:cs="Arial"/>
                <w:sz w:val="19"/>
                <w:szCs w:val="19"/>
              </w:rPr>
            </w:pPr>
            <w:r w:rsidRPr="00695835">
              <w:rPr>
                <w:rFonts w:cs="Arial"/>
                <w:sz w:val="19"/>
                <w:szCs w:val="19"/>
              </w:rPr>
              <w:t>428</w:t>
            </w:r>
          </w:p>
        </w:tc>
        <w:tc>
          <w:tcPr>
            <w:tcW w:w="1398" w:type="dxa"/>
            <w:tcBorders>
              <w:top w:val="nil"/>
              <w:left w:val="nil"/>
              <w:bottom w:val="nil"/>
              <w:right w:val="single" w:sz="4" w:space="0" w:color="auto"/>
            </w:tcBorders>
            <w:shd w:val="clear" w:color="auto" w:fill="auto"/>
            <w:noWrap/>
            <w:vAlign w:val="bottom"/>
            <w:hideMark/>
          </w:tcPr>
          <w:p w14:paraId="0A11D13F" w14:textId="77777777" w:rsidR="00866495" w:rsidRPr="00695835" w:rsidRDefault="00866495" w:rsidP="0070500D">
            <w:pPr>
              <w:jc w:val="right"/>
              <w:rPr>
                <w:rFonts w:cs="Arial"/>
                <w:sz w:val="19"/>
                <w:szCs w:val="19"/>
              </w:rPr>
            </w:pPr>
            <w:r w:rsidRPr="00695835">
              <w:rPr>
                <w:rFonts w:cs="Arial"/>
                <w:sz w:val="19"/>
                <w:szCs w:val="19"/>
              </w:rPr>
              <w:t>3.11</w:t>
            </w:r>
          </w:p>
        </w:tc>
      </w:tr>
      <w:tr w:rsidR="00866495" w:rsidRPr="00695835" w14:paraId="5D199CB4"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3A4F0861" w14:textId="77777777" w:rsidR="00866495" w:rsidRPr="00695835" w:rsidRDefault="00866495" w:rsidP="0070500D">
            <w:pPr>
              <w:jc w:val="right"/>
              <w:rPr>
                <w:rFonts w:cs="Arial"/>
                <w:sz w:val="19"/>
                <w:szCs w:val="19"/>
              </w:rPr>
            </w:pPr>
            <w:r w:rsidRPr="00695835">
              <w:rPr>
                <w:rFonts w:cs="Arial"/>
                <w:sz w:val="19"/>
                <w:szCs w:val="19"/>
              </w:rPr>
              <w:t>248</w:t>
            </w:r>
          </w:p>
        </w:tc>
        <w:tc>
          <w:tcPr>
            <w:tcW w:w="6817" w:type="dxa"/>
            <w:tcBorders>
              <w:top w:val="nil"/>
              <w:left w:val="nil"/>
              <w:bottom w:val="nil"/>
              <w:right w:val="single" w:sz="4" w:space="0" w:color="auto"/>
            </w:tcBorders>
            <w:shd w:val="clear" w:color="auto" w:fill="auto"/>
            <w:noWrap/>
            <w:vAlign w:val="bottom"/>
            <w:hideMark/>
          </w:tcPr>
          <w:p w14:paraId="050148C2" w14:textId="77777777" w:rsidR="00866495" w:rsidRPr="00695835" w:rsidRDefault="00866495" w:rsidP="0070500D">
            <w:pPr>
              <w:rPr>
                <w:rFonts w:cs="Arial"/>
                <w:sz w:val="19"/>
                <w:szCs w:val="19"/>
              </w:rPr>
            </w:pPr>
            <w:r w:rsidRPr="00695835">
              <w:rPr>
                <w:rFonts w:cs="Arial"/>
                <w:sz w:val="19"/>
                <w:szCs w:val="19"/>
              </w:rPr>
              <w:t xml:space="preserve"> - London Boroughs Grants Committee     </w:t>
            </w:r>
          </w:p>
        </w:tc>
        <w:tc>
          <w:tcPr>
            <w:tcW w:w="1469" w:type="dxa"/>
            <w:tcBorders>
              <w:top w:val="nil"/>
              <w:left w:val="nil"/>
              <w:bottom w:val="nil"/>
              <w:right w:val="single" w:sz="4" w:space="0" w:color="auto"/>
            </w:tcBorders>
            <w:shd w:val="clear" w:color="auto" w:fill="auto"/>
            <w:noWrap/>
            <w:vAlign w:val="bottom"/>
            <w:hideMark/>
          </w:tcPr>
          <w:p w14:paraId="1D50F3F3" w14:textId="77777777" w:rsidR="00866495" w:rsidRPr="00695835" w:rsidRDefault="00866495" w:rsidP="0070500D">
            <w:pPr>
              <w:jc w:val="right"/>
              <w:rPr>
                <w:rFonts w:cs="Arial"/>
                <w:sz w:val="19"/>
                <w:szCs w:val="19"/>
              </w:rPr>
            </w:pPr>
            <w:r w:rsidRPr="00695835">
              <w:rPr>
                <w:rFonts w:cs="Arial"/>
                <w:sz w:val="19"/>
                <w:szCs w:val="19"/>
              </w:rPr>
              <w:t>248</w:t>
            </w:r>
          </w:p>
        </w:tc>
        <w:tc>
          <w:tcPr>
            <w:tcW w:w="1398" w:type="dxa"/>
            <w:tcBorders>
              <w:top w:val="nil"/>
              <w:left w:val="nil"/>
              <w:bottom w:val="nil"/>
              <w:right w:val="single" w:sz="4" w:space="0" w:color="auto"/>
            </w:tcBorders>
            <w:shd w:val="clear" w:color="auto" w:fill="auto"/>
            <w:noWrap/>
            <w:vAlign w:val="bottom"/>
            <w:hideMark/>
          </w:tcPr>
          <w:p w14:paraId="45AB70F7" w14:textId="77777777" w:rsidR="00866495" w:rsidRPr="00695835" w:rsidRDefault="00866495" w:rsidP="0070500D">
            <w:pPr>
              <w:jc w:val="right"/>
              <w:rPr>
                <w:rFonts w:cs="Arial"/>
                <w:sz w:val="19"/>
                <w:szCs w:val="19"/>
              </w:rPr>
            </w:pPr>
            <w:r w:rsidRPr="00695835">
              <w:rPr>
                <w:rFonts w:cs="Arial"/>
                <w:sz w:val="19"/>
                <w:szCs w:val="19"/>
              </w:rPr>
              <w:t>1.80</w:t>
            </w:r>
          </w:p>
        </w:tc>
      </w:tr>
      <w:tr w:rsidR="00866495" w:rsidRPr="00695835" w14:paraId="3DE80845"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3A9D9196" w14:textId="77777777" w:rsidR="00866495" w:rsidRPr="00695835" w:rsidRDefault="00866495" w:rsidP="0070500D">
            <w:pPr>
              <w:jc w:val="right"/>
              <w:rPr>
                <w:rFonts w:cs="Arial"/>
                <w:sz w:val="19"/>
                <w:szCs w:val="19"/>
              </w:rPr>
            </w:pPr>
            <w:r w:rsidRPr="00695835">
              <w:rPr>
                <w:rFonts w:cs="Arial"/>
                <w:sz w:val="19"/>
                <w:szCs w:val="19"/>
              </w:rPr>
              <w:t>270</w:t>
            </w:r>
          </w:p>
        </w:tc>
        <w:tc>
          <w:tcPr>
            <w:tcW w:w="6817" w:type="dxa"/>
            <w:tcBorders>
              <w:top w:val="nil"/>
              <w:left w:val="nil"/>
              <w:bottom w:val="nil"/>
              <w:right w:val="single" w:sz="4" w:space="0" w:color="auto"/>
            </w:tcBorders>
            <w:shd w:val="clear" w:color="auto" w:fill="auto"/>
            <w:noWrap/>
            <w:vAlign w:val="bottom"/>
            <w:hideMark/>
          </w:tcPr>
          <w:p w14:paraId="49E70C6C" w14:textId="77777777" w:rsidR="00866495" w:rsidRPr="00695835" w:rsidRDefault="00866495" w:rsidP="0070500D">
            <w:pPr>
              <w:rPr>
                <w:rFonts w:cs="Arial"/>
                <w:sz w:val="19"/>
                <w:szCs w:val="19"/>
              </w:rPr>
            </w:pPr>
            <w:r w:rsidRPr="00695835">
              <w:rPr>
                <w:rFonts w:cs="Arial"/>
                <w:sz w:val="19"/>
                <w:szCs w:val="19"/>
              </w:rPr>
              <w:t xml:space="preserve"> - Environment Agency</w:t>
            </w:r>
          </w:p>
        </w:tc>
        <w:tc>
          <w:tcPr>
            <w:tcW w:w="1469" w:type="dxa"/>
            <w:tcBorders>
              <w:top w:val="nil"/>
              <w:left w:val="nil"/>
              <w:bottom w:val="nil"/>
              <w:right w:val="single" w:sz="4" w:space="0" w:color="auto"/>
            </w:tcBorders>
            <w:shd w:val="clear" w:color="auto" w:fill="auto"/>
            <w:noWrap/>
            <w:vAlign w:val="bottom"/>
            <w:hideMark/>
          </w:tcPr>
          <w:p w14:paraId="3FD45869" w14:textId="77777777" w:rsidR="00866495" w:rsidRPr="00695835" w:rsidRDefault="00866495" w:rsidP="0070500D">
            <w:pPr>
              <w:jc w:val="right"/>
              <w:rPr>
                <w:rFonts w:cs="Arial"/>
                <w:sz w:val="19"/>
                <w:szCs w:val="19"/>
              </w:rPr>
            </w:pPr>
            <w:r w:rsidRPr="00695835">
              <w:rPr>
                <w:rFonts w:cs="Arial"/>
                <w:sz w:val="19"/>
                <w:szCs w:val="19"/>
              </w:rPr>
              <w:t>276</w:t>
            </w:r>
          </w:p>
        </w:tc>
        <w:tc>
          <w:tcPr>
            <w:tcW w:w="1398" w:type="dxa"/>
            <w:tcBorders>
              <w:top w:val="nil"/>
              <w:left w:val="nil"/>
              <w:bottom w:val="nil"/>
              <w:right w:val="single" w:sz="4" w:space="0" w:color="auto"/>
            </w:tcBorders>
            <w:shd w:val="clear" w:color="auto" w:fill="auto"/>
            <w:noWrap/>
            <w:vAlign w:val="bottom"/>
            <w:hideMark/>
          </w:tcPr>
          <w:p w14:paraId="5050916E" w14:textId="77777777" w:rsidR="00866495" w:rsidRPr="00695835" w:rsidRDefault="00866495" w:rsidP="0070500D">
            <w:pPr>
              <w:jc w:val="right"/>
              <w:rPr>
                <w:rFonts w:cs="Arial"/>
                <w:sz w:val="19"/>
                <w:szCs w:val="19"/>
              </w:rPr>
            </w:pPr>
            <w:r w:rsidRPr="00695835">
              <w:rPr>
                <w:rFonts w:cs="Arial"/>
                <w:sz w:val="19"/>
                <w:szCs w:val="19"/>
              </w:rPr>
              <w:t>2.01</w:t>
            </w:r>
          </w:p>
        </w:tc>
      </w:tr>
      <w:tr w:rsidR="00866495" w:rsidRPr="00695835" w14:paraId="28B42CF6"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09921AB5" w14:textId="77777777" w:rsidR="00866495" w:rsidRPr="00695835" w:rsidRDefault="00866495" w:rsidP="0070500D">
            <w:pPr>
              <w:jc w:val="right"/>
              <w:rPr>
                <w:rFonts w:cs="Arial"/>
                <w:sz w:val="19"/>
                <w:szCs w:val="19"/>
              </w:rPr>
            </w:pPr>
            <w:r w:rsidRPr="00695835">
              <w:rPr>
                <w:rFonts w:cs="Arial"/>
                <w:sz w:val="19"/>
                <w:szCs w:val="19"/>
              </w:rPr>
              <w:t>350</w:t>
            </w:r>
          </w:p>
        </w:tc>
        <w:tc>
          <w:tcPr>
            <w:tcW w:w="6817" w:type="dxa"/>
            <w:tcBorders>
              <w:top w:val="nil"/>
              <w:left w:val="nil"/>
              <w:bottom w:val="nil"/>
              <w:right w:val="single" w:sz="4" w:space="0" w:color="auto"/>
            </w:tcBorders>
            <w:shd w:val="clear" w:color="auto" w:fill="auto"/>
            <w:noWrap/>
            <w:vAlign w:val="bottom"/>
            <w:hideMark/>
          </w:tcPr>
          <w:p w14:paraId="45174AD9" w14:textId="77777777" w:rsidR="00866495" w:rsidRPr="00695835" w:rsidRDefault="00866495" w:rsidP="0070500D">
            <w:pPr>
              <w:rPr>
                <w:rFonts w:cs="Arial"/>
                <w:sz w:val="19"/>
                <w:szCs w:val="19"/>
              </w:rPr>
            </w:pPr>
            <w:r w:rsidRPr="00695835">
              <w:rPr>
                <w:rFonts w:cs="Arial"/>
                <w:sz w:val="19"/>
                <w:szCs w:val="19"/>
              </w:rPr>
              <w:t xml:space="preserve"> - Lee Valley Regional Park</w:t>
            </w:r>
          </w:p>
        </w:tc>
        <w:tc>
          <w:tcPr>
            <w:tcW w:w="1469" w:type="dxa"/>
            <w:tcBorders>
              <w:top w:val="nil"/>
              <w:left w:val="nil"/>
              <w:bottom w:val="nil"/>
              <w:right w:val="single" w:sz="4" w:space="0" w:color="auto"/>
            </w:tcBorders>
            <w:shd w:val="clear" w:color="auto" w:fill="auto"/>
            <w:noWrap/>
            <w:vAlign w:val="bottom"/>
            <w:hideMark/>
          </w:tcPr>
          <w:p w14:paraId="299F5068" w14:textId="77777777" w:rsidR="00866495" w:rsidRPr="00695835" w:rsidRDefault="00866495" w:rsidP="0070500D">
            <w:pPr>
              <w:jc w:val="right"/>
              <w:rPr>
                <w:rFonts w:cs="Arial"/>
                <w:sz w:val="19"/>
                <w:szCs w:val="19"/>
              </w:rPr>
            </w:pPr>
            <w:r w:rsidRPr="00695835">
              <w:rPr>
                <w:rFonts w:cs="Arial"/>
                <w:sz w:val="19"/>
                <w:szCs w:val="19"/>
              </w:rPr>
              <w:t>359</w:t>
            </w:r>
          </w:p>
        </w:tc>
        <w:tc>
          <w:tcPr>
            <w:tcW w:w="1398" w:type="dxa"/>
            <w:tcBorders>
              <w:top w:val="nil"/>
              <w:left w:val="nil"/>
              <w:bottom w:val="nil"/>
              <w:right w:val="single" w:sz="4" w:space="0" w:color="auto"/>
            </w:tcBorders>
            <w:shd w:val="clear" w:color="auto" w:fill="auto"/>
            <w:noWrap/>
            <w:vAlign w:val="bottom"/>
            <w:hideMark/>
          </w:tcPr>
          <w:p w14:paraId="5FDC7CFF" w14:textId="77777777" w:rsidR="00866495" w:rsidRPr="00695835" w:rsidRDefault="00866495" w:rsidP="0070500D">
            <w:pPr>
              <w:jc w:val="right"/>
              <w:rPr>
                <w:rFonts w:cs="Arial"/>
                <w:sz w:val="19"/>
                <w:szCs w:val="19"/>
              </w:rPr>
            </w:pPr>
            <w:r w:rsidRPr="00695835">
              <w:rPr>
                <w:rFonts w:cs="Arial"/>
                <w:sz w:val="19"/>
                <w:szCs w:val="19"/>
              </w:rPr>
              <w:t>2.61</w:t>
            </w:r>
          </w:p>
        </w:tc>
      </w:tr>
      <w:tr w:rsidR="00866495" w:rsidRPr="00695835" w14:paraId="5DD1695E"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232DA98B" w14:textId="77777777" w:rsidR="00866495" w:rsidRPr="00695835" w:rsidRDefault="00866495" w:rsidP="0070500D">
            <w:pPr>
              <w:jc w:val="right"/>
              <w:rPr>
                <w:rFonts w:cs="Arial"/>
                <w:sz w:val="19"/>
                <w:szCs w:val="19"/>
              </w:rPr>
            </w:pPr>
            <w:r w:rsidRPr="00695835">
              <w:rPr>
                <w:rFonts w:cs="Arial"/>
                <w:sz w:val="19"/>
                <w:szCs w:val="19"/>
              </w:rPr>
              <w:t> </w:t>
            </w:r>
          </w:p>
        </w:tc>
        <w:tc>
          <w:tcPr>
            <w:tcW w:w="6817" w:type="dxa"/>
            <w:tcBorders>
              <w:top w:val="nil"/>
              <w:left w:val="nil"/>
              <w:bottom w:val="nil"/>
              <w:right w:val="single" w:sz="4" w:space="0" w:color="auto"/>
            </w:tcBorders>
            <w:shd w:val="clear" w:color="auto" w:fill="auto"/>
            <w:noWrap/>
            <w:vAlign w:val="bottom"/>
            <w:hideMark/>
          </w:tcPr>
          <w:p w14:paraId="29CDFA9C" w14:textId="77777777" w:rsidR="00866495" w:rsidRPr="00695835" w:rsidRDefault="00866495" w:rsidP="0070500D">
            <w:pPr>
              <w:rPr>
                <w:rFonts w:cs="Arial"/>
                <w:sz w:val="19"/>
                <w:szCs w:val="19"/>
              </w:rPr>
            </w:pPr>
            <w:r w:rsidRPr="00695835">
              <w:rPr>
                <w:rFonts w:cs="Arial"/>
                <w:sz w:val="19"/>
                <w:szCs w:val="19"/>
              </w:rPr>
              <w:t> </w:t>
            </w:r>
          </w:p>
        </w:tc>
        <w:tc>
          <w:tcPr>
            <w:tcW w:w="1469" w:type="dxa"/>
            <w:tcBorders>
              <w:top w:val="nil"/>
              <w:left w:val="nil"/>
              <w:bottom w:val="nil"/>
              <w:right w:val="single" w:sz="4" w:space="0" w:color="auto"/>
            </w:tcBorders>
            <w:shd w:val="clear" w:color="auto" w:fill="auto"/>
            <w:noWrap/>
            <w:vAlign w:val="bottom"/>
            <w:hideMark/>
          </w:tcPr>
          <w:p w14:paraId="5E140697" w14:textId="77777777" w:rsidR="00866495" w:rsidRPr="00695835" w:rsidRDefault="00866495" w:rsidP="0070500D">
            <w:pPr>
              <w:jc w:val="right"/>
              <w:rPr>
                <w:rFonts w:cs="Arial"/>
                <w:sz w:val="19"/>
                <w:szCs w:val="19"/>
              </w:rPr>
            </w:pPr>
            <w:r w:rsidRPr="00695835">
              <w:rPr>
                <w:rFonts w:cs="Arial"/>
                <w:sz w:val="19"/>
                <w:szCs w:val="19"/>
              </w:rPr>
              <w:t> </w:t>
            </w:r>
          </w:p>
        </w:tc>
        <w:tc>
          <w:tcPr>
            <w:tcW w:w="1398" w:type="dxa"/>
            <w:tcBorders>
              <w:top w:val="nil"/>
              <w:left w:val="nil"/>
              <w:bottom w:val="nil"/>
              <w:right w:val="single" w:sz="4" w:space="0" w:color="auto"/>
            </w:tcBorders>
            <w:shd w:val="clear" w:color="auto" w:fill="auto"/>
            <w:noWrap/>
            <w:vAlign w:val="bottom"/>
            <w:hideMark/>
          </w:tcPr>
          <w:p w14:paraId="414DB97B" w14:textId="77777777" w:rsidR="00866495" w:rsidRPr="00695835" w:rsidRDefault="00866495" w:rsidP="0070500D">
            <w:pPr>
              <w:rPr>
                <w:rFonts w:cs="Arial"/>
                <w:sz w:val="19"/>
                <w:szCs w:val="19"/>
              </w:rPr>
            </w:pPr>
            <w:r w:rsidRPr="00695835">
              <w:rPr>
                <w:rFonts w:cs="Arial"/>
                <w:sz w:val="19"/>
                <w:szCs w:val="19"/>
              </w:rPr>
              <w:t> </w:t>
            </w:r>
          </w:p>
        </w:tc>
      </w:tr>
      <w:tr w:rsidR="00866495" w:rsidRPr="00695835" w14:paraId="541B443A" w14:textId="77777777" w:rsidTr="0070500D">
        <w:trPr>
          <w:trHeight w:val="256"/>
        </w:trPr>
        <w:tc>
          <w:tcPr>
            <w:tcW w:w="149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45C41224" w14:textId="77777777" w:rsidR="00866495" w:rsidRPr="00695835" w:rsidRDefault="00866495" w:rsidP="0070500D">
            <w:pPr>
              <w:jc w:val="right"/>
              <w:rPr>
                <w:rFonts w:cs="Arial"/>
                <w:b/>
                <w:bCs/>
                <w:sz w:val="19"/>
                <w:szCs w:val="19"/>
              </w:rPr>
            </w:pPr>
            <w:r w:rsidRPr="00695835">
              <w:rPr>
                <w:rFonts w:cs="Arial"/>
                <w:b/>
                <w:bCs/>
                <w:sz w:val="19"/>
                <w:szCs w:val="19"/>
              </w:rPr>
              <w:t>267,379</w:t>
            </w:r>
          </w:p>
        </w:tc>
        <w:tc>
          <w:tcPr>
            <w:tcW w:w="6817" w:type="dxa"/>
            <w:tcBorders>
              <w:top w:val="nil"/>
              <w:left w:val="nil"/>
              <w:bottom w:val="nil"/>
              <w:right w:val="single" w:sz="4" w:space="0" w:color="auto"/>
            </w:tcBorders>
            <w:shd w:val="clear" w:color="auto" w:fill="auto"/>
            <w:noWrap/>
            <w:vAlign w:val="bottom"/>
            <w:hideMark/>
          </w:tcPr>
          <w:p w14:paraId="0DF8C480" w14:textId="77777777" w:rsidR="00866495" w:rsidRPr="00695835" w:rsidRDefault="00866495" w:rsidP="0070500D">
            <w:pPr>
              <w:rPr>
                <w:rFonts w:cs="Arial"/>
                <w:b/>
                <w:bCs/>
                <w:sz w:val="19"/>
                <w:szCs w:val="19"/>
              </w:rPr>
            </w:pPr>
            <w:r w:rsidRPr="00695835">
              <w:rPr>
                <w:rFonts w:cs="Arial"/>
                <w:b/>
                <w:bCs/>
                <w:sz w:val="19"/>
                <w:szCs w:val="19"/>
              </w:rPr>
              <w:t>Sub Total</w:t>
            </w:r>
          </w:p>
        </w:tc>
        <w:tc>
          <w:tcPr>
            <w:tcW w:w="1469" w:type="dxa"/>
            <w:tcBorders>
              <w:top w:val="single" w:sz="4" w:space="0" w:color="auto"/>
              <w:left w:val="nil"/>
              <w:bottom w:val="dotted" w:sz="4" w:space="0" w:color="auto"/>
              <w:right w:val="single" w:sz="4" w:space="0" w:color="auto"/>
            </w:tcBorders>
            <w:shd w:val="clear" w:color="auto" w:fill="auto"/>
            <w:noWrap/>
            <w:vAlign w:val="bottom"/>
            <w:hideMark/>
          </w:tcPr>
          <w:p w14:paraId="1B9718AD" w14:textId="77777777" w:rsidR="00866495" w:rsidRPr="00695835" w:rsidRDefault="00866495" w:rsidP="0070500D">
            <w:pPr>
              <w:jc w:val="right"/>
              <w:rPr>
                <w:rFonts w:cs="Arial"/>
                <w:b/>
                <w:bCs/>
                <w:sz w:val="19"/>
                <w:szCs w:val="19"/>
              </w:rPr>
            </w:pPr>
            <w:r w:rsidRPr="00695835">
              <w:rPr>
                <w:rFonts w:cs="Arial"/>
                <w:b/>
                <w:bCs/>
                <w:sz w:val="19"/>
                <w:szCs w:val="19"/>
              </w:rPr>
              <w:t>283,974</w:t>
            </w:r>
          </w:p>
        </w:tc>
        <w:tc>
          <w:tcPr>
            <w:tcW w:w="1398" w:type="dxa"/>
            <w:tcBorders>
              <w:top w:val="single" w:sz="4" w:space="0" w:color="auto"/>
              <w:left w:val="nil"/>
              <w:bottom w:val="dotted" w:sz="4" w:space="0" w:color="auto"/>
              <w:right w:val="single" w:sz="4" w:space="0" w:color="auto"/>
            </w:tcBorders>
            <w:shd w:val="clear" w:color="auto" w:fill="auto"/>
            <w:noWrap/>
            <w:vAlign w:val="bottom"/>
            <w:hideMark/>
          </w:tcPr>
          <w:p w14:paraId="0E9A64D7" w14:textId="77777777" w:rsidR="00866495" w:rsidRPr="00695835" w:rsidRDefault="00866495" w:rsidP="0070500D">
            <w:pPr>
              <w:jc w:val="right"/>
              <w:rPr>
                <w:rFonts w:cs="Arial"/>
                <w:b/>
                <w:bCs/>
                <w:sz w:val="19"/>
                <w:szCs w:val="19"/>
              </w:rPr>
            </w:pPr>
            <w:r w:rsidRPr="00695835">
              <w:rPr>
                <w:rFonts w:cs="Arial"/>
                <w:b/>
                <w:bCs/>
                <w:sz w:val="19"/>
                <w:szCs w:val="19"/>
              </w:rPr>
              <w:t>2,065.42</w:t>
            </w:r>
          </w:p>
        </w:tc>
      </w:tr>
      <w:tr w:rsidR="00866495" w:rsidRPr="00695835" w14:paraId="52517238"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351540C9" w14:textId="77777777" w:rsidR="00866495" w:rsidRPr="00695835" w:rsidRDefault="00866495" w:rsidP="0070500D">
            <w:pPr>
              <w:jc w:val="right"/>
              <w:rPr>
                <w:rFonts w:cs="Arial"/>
                <w:sz w:val="19"/>
                <w:szCs w:val="19"/>
              </w:rPr>
            </w:pPr>
            <w:r w:rsidRPr="00695835">
              <w:rPr>
                <w:rFonts w:cs="Arial"/>
                <w:sz w:val="19"/>
                <w:szCs w:val="19"/>
              </w:rPr>
              <w:t> </w:t>
            </w:r>
          </w:p>
        </w:tc>
        <w:tc>
          <w:tcPr>
            <w:tcW w:w="6817" w:type="dxa"/>
            <w:tcBorders>
              <w:top w:val="nil"/>
              <w:left w:val="nil"/>
              <w:bottom w:val="nil"/>
              <w:right w:val="single" w:sz="4" w:space="0" w:color="auto"/>
            </w:tcBorders>
            <w:shd w:val="clear" w:color="auto" w:fill="auto"/>
            <w:noWrap/>
            <w:vAlign w:val="bottom"/>
            <w:hideMark/>
          </w:tcPr>
          <w:p w14:paraId="0B631F16" w14:textId="77777777" w:rsidR="00866495" w:rsidRPr="00695835" w:rsidRDefault="00866495" w:rsidP="0070500D">
            <w:pPr>
              <w:rPr>
                <w:rFonts w:cs="Arial"/>
                <w:sz w:val="19"/>
                <w:szCs w:val="19"/>
              </w:rPr>
            </w:pPr>
            <w:r w:rsidRPr="00695835">
              <w:rPr>
                <w:rFonts w:cs="Arial"/>
                <w:sz w:val="19"/>
                <w:szCs w:val="19"/>
              </w:rPr>
              <w:t> </w:t>
            </w:r>
          </w:p>
        </w:tc>
        <w:tc>
          <w:tcPr>
            <w:tcW w:w="1469" w:type="dxa"/>
            <w:tcBorders>
              <w:top w:val="nil"/>
              <w:left w:val="nil"/>
              <w:bottom w:val="nil"/>
              <w:right w:val="single" w:sz="4" w:space="0" w:color="auto"/>
            </w:tcBorders>
            <w:shd w:val="clear" w:color="auto" w:fill="auto"/>
            <w:noWrap/>
            <w:vAlign w:val="bottom"/>
            <w:hideMark/>
          </w:tcPr>
          <w:p w14:paraId="74AC4E14" w14:textId="77777777" w:rsidR="00866495" w:rsidRPr="00695835" w:rsidRDefault="00866495" w:rsidP="0070500D">
            <w:pPr>
              <w:jc w:val="right"/>
              <w:rPr>
                <w:rFonts w:cs="Arial"/>
                <w:sz w:val="19"/>
                <w:szCs w:val="19"/>
              </w:rPr>
            </w:pPr>
            <w:r w:rsidRPr="00695835">
              <w:rPr>
                <w:rFonts w:cs="Arial"/>
                <w:sz w:val="19"/>
                <w:szCs w:val="19"/>
              </w:rPr>
              <w:t> </w:t>
            </w:r>
          </w:p>
        </w:tc>
        <w:tc>
          <w:tcPr>
            <w:tcW w:w="1398" w:type="dxa"/>
            <w:tcBorders>
              <w:top w:val="nil"/>
              <w:left w:val="nil"/>
              <w:bottom w:val="nil"/>
              <w:right w:val="single" w:sz="4" w:space="0" w:color="auto"/>
            </w:tcBorders>
            <w:shd w:val="clear" w:color="auto" w:fill="auto"/>
            <w:noWrap/>
            <w:vAlign w:val="bottom"/>
            <w:hideMark/>
          </w:tcPr>
          <w:p w14:paraId="113C5339" w14:textId="77777777" w:rsidR="00866495" w:rsidRPr="00695835" w:rsidRDefault="00866495" w:rsidP="0070500D">
            <w:pPr>
              <w:jc w:val="right"/>
              <w:rPr>
                <w:rFonts w:cs="Arial"/>
                <w:sz w:val="19"/>
                <w:szCs w:val="19"/>
              </w:rPr>
            </w:pPr>
            <w:r w:rsidRPr="00695835">
              <w:rPr>
                <w:rFonts w:cs="Arial"/>
                <w:sz w:val="19"/>
                <w:szCs w:val="19"/>
              </w:rPr>
              <w:t> </w:t>
            </w:r>
          </w:p>
        </w:tc>
      </w:tr>
      <w:tr w:rsidR="00866495" w:rsidRPr="00695835" w14:paraId="437E5EFA"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1997B73F" w14:textId="77777777" w:rsidR="00866495" w:rsidRPr="00695835" w:rsidRDefault="00866495" w:rsidP="0070500D">
            <w:pPr>
              <w:jc w:val="right"/>
              <w:rPr>
                <w:rFonts w:cs="Arial"/>
                <w:sz w:val="19"/>
                <w:szCs w:val="19"/>
              </w:rPr>
            </w:pPr>
            <w:r w:rsidRPr="00695835">
              <w:rPr>
                <w:rFonts w:cs="Arial"/>
                <w:sz w:val="19"/>
                <w:szCs w:val="19"/>
              </w:rPr>
              <w:t>Cr            409</w:t>
            </w:r>
          </w:p>
        </w:tc>
        <w:tc>
          <w:tcPr>
            <w:tcW w:w="6817" w:type="dxa"/>
            <w:tcBorders>
              <w:top w:val="nil"/>
              <w:left w:val="nil"/>
              <w:bottom w:val="nil"/>
              <w:right w:val="single" w:sz="4" w:space="0" w:color="auto"/>
            </w:tcBorders>
            <w:shd w:val="clear" w:color="auto" w:fill="auto"/>
            <w:noWrap/>
            <w:vAlign w:val="bottom"/>
            <w:hideMark/>
          </w:tcPr>
          <w:p w14:paraId="6C5DAAC0" w14:textId="77777777" w:rsidR="00866495" w:rsidRPr="00695835" w:rsidRDefault="00866495" w:rsidP="0070500D">
            <w:pPr>
              <w:rPr>
                <w:rFonts w:cs="Arial"/>
                <w:sz w:val="19"/>
                <w:szCs w:val="19"/>
              </w:rPr>
            </w:pPr>
            <w:r w:rsidRPr="00695835">
              <w:rPr>
                <w:rFonts w:cs="Arial"/>
                <w:sz w:val="19"/>
                <w:szCs w:val="19"/>
              </w:rPr>
              <w:t>New Homes Bonus</w:t>
            </w:r>
          </w:p>
        </w:tc>
        <w:tc>
          <w:tcPr>
            <w:tcW w:w="1469" w:type="dxa"/>
            <w:tcBorders>
              <w:top w:val="nil"/>
              <w:left w:val="nil"/>
              <w:bottom w:val="nil"/>
              <w:right w:val="single" w:sz="4" w:space="0" w:color="auto"/>
            </w:tcBorders>
            <w:shd w:val="clear" w:color="auto" w:fill="auto"/>
            <w:noWrap/>
            <w:vAlign w:val="bottom"/>
            <w:hideMark/>
          </w:tcPr>
          <w:p w14:paraId="606C70CC" w14:textId="77777777" w:rsidR="00866495" w:rsidRPr="00695835" w:rsidRDefault="00866495" w:rsidP="0070500D">
            <w:pPr>
              <w:jc w:val="right"/>
              <w:rPr>
                <w:rFonts w:cs="Arial"/>
                <w:sz w:val="19"/>
                <w:szCs w:val="19"/>
              </w:rPr>
            </w:pPr>
            <w:r w:rsidRPr="00695835">
              <w:rPr>
                <w:rFonts w:cs="Arial"/>
                <w:sz w:val="19"/>
                <w:szCs w:val="19"/>
              </w:rPr>
              <w:t>Cr             10</w:t>
            </w:r>
          </w:p>
        </w:tc>
        <w:tc>
          <w:tcPr>
            <w:tcW w:w="1398" w:type="dxa"/>
            <w:tcBorders>
              <w:top w:val="nil"/>
              <w:left w:val="nil"/>
              <w:bottom w:val="nil"/>
              <w:right w:val="single" w:sz="4" w:space="0" w:color="auto"/>
            </w:tcBorders>
            <w:shd w:val="clear" w:color="auto" w:fill="auto"/>
            <w:noWrap/>
            <w:vAlign w:val="bottom"/>
            <w:hideMark/>
          </w:tcPr>
          <w:p w14:paraId="3B30356D" w14:textId="77777777" w:rsidR="00866495" w:rsidRPr="00695835" w:rsidRDefault="00866495" w:rsidP="0070500D">
            <w:pPr>
              <w:jc w:val="right"/>
              <w:rPr>
                <w:rFonts w:cs="Arial"/>
                <w:sz w:val="19"/>
                <w:szCs w:val="19"/>
              </w:rPr>
            </w:pPr>
            <w:r w:rsidRPr="00695835">
              <w:rPr>
                <w:rFonts w:cs="Arial"/>
                <w:sz w:val="19"/>
                <w:szCs w:val="19"/>
              </w:rPr>
              <w:t>-0.07</w:t>
            </w:r>
          </w:p>
        </w:tc>
      </w:tr>
      <w:tr w:rsidR="00866495" w:rsidRPr="00695835" w14:paraId="2B09677E"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620E887E" w14:textId="77777777" w:rsidR="00866495" w:rsidRPr="00695835" w:rsidRDefault="00866495" w:rsidP="0070500D">
            <w:pPr>
              <w:jc w:val="right"/>
              <w:rPr>
                <w:rFonts w:cs="Arial"/>
                <w:sz w:val="19"/>
                <w:szCs w:val="19"/>
              </w:rPr>
            </w:pPr>
            <w:r w:rsidRPr="00695835">
              <w:rPr>
                <w:rFonts w:cs="Arial"/>
                <w:sz w:val="19"/>
                <w:szCs w:val="19"/>
              </w:rPr>
              <w:t>Cr       50,205</w:t>
            </w:r>
          </w:p>
        </w:tc>
        <w:tc>
          <w:tcPr>
            <w:tcW w:w="6817" w:type="dxa"/>
            <w:tcBorders>
              <w:top w:val="nil"/>
              <w:left w:val="nil"/>
              <w:bottom w:val="nil"/>
              <w:right w:val="single" w:sz="4" w:space="0" w:color="auto"/>
            </w:tcBorders>
            <w:shd w:val="clear" w:color="auto" w:fill="auto"/>
            <w:noWrap/>
            <w:vAlign w:val="bottom"/>
            <w:hideMark/>
          </w:tcPr>
          <w:p w14:paraId="62972449" w14:textId="77777777" w:rsidR="00866495" w:rsidRPr="00695835" w:rsidRDefault="00866495" w:rsidP="0070500D">
            <w:pPr>
              <w:rPr>
                <w:rFonts w:cs="Arial"/>
                <w:sz w:val="19"/>
                <w:szCs w:val="19"/>
              </w:rPr>
            </w:pPr>
            <w:r w:rsidRPr="00695835">
              <w:rPr>
                <w:rFonts w:cs="Arial"/>
                <w:sz w:val="19"/>
                <w:szCs w:val="19"/>
              </w:rPr>
              <w:t>Business Rate Retention</w:t>
            </w:r>
          </w:p>
        </w:tc>
        <w:tc>
          <w:tcPr>
            <w:tcW w:w="1469" w:type="dxa"/>
            <w:tcBorders>
              <w:top w:val="nil"/>
              <w:left w:val="nil"/>
              <w:bottom w:val="nil"/>
              <w:right w:val="single" w:sz="4" w:space="0" w:color="auto"/>
            </w:tcBorders>
            <w:shd w:val="clear" w:color="auto" w:fill="auto"/>
            <w:noWrap/>
            <w:vAlign w:val="bottom"/>
            <w:hideMark/>
          </w:tcPr>
          <w:p w14:paraId="5B57EE8B" w14:textId="77777777" w:rsidR="00866495" w:rsidRPr="00695835" w:rsidRDefault="00866495" w:rsidP="0070500D">
            <w:pPr>
              <w:jc w:val="right"/>
              <w:rPr>
                <w:rFonts w:cs="Arial"/>
                <w:sz w:val="19"/>
                <w:szCs w:val="19"/>
              </w:rPr>
            </w:pPr>
            <w:r w:rsidRPr="00695835">
              <w:rPr>
                <w:rFonts w:cs="Arial"/>
                <w:sz w:val="19"/>
                <w:szCs w:val="19"/>
              </w:rPr>
              <w:t>Cr       50,950</w:t>
            </w:r>
          </w:p>
        </w:tc>
        <w:tc>
          <w:tcPr>
            <w:tcW w:w="1398" w:type="dxa"/>
            <w:tcBorders>
              <w:top w:val="nil"/>
              <w:left w:val="nil"/>
              <w:bottom w:val="nil"/>
              <w:right w:val="single" w:sz="4" w:space="0" w:color="auto"/>
            </w:tcBorders>
            <w:shd w:val="clear" w:color="auto" w:fill="auto"/>
            <w:noWrap/>
            <w:vAlign w:val="bottom"/>
            <w:hideMark/>
          </w:tcPr>
          <w:p w14:paraId="57672529" w14:textId="77777777" w:rsidR="00866495" w:rsidRPr="00695835" w:rsidRDefault="00866495" w:rsidP="0070500D">
            <w:pPr>
              <w:jc w:val="right"/>
              <w:rPr>
                <w:rFonts w:cs="Arial"/>
                <w:sz w:val="19"/>
                <w:szCs w:val="19"/>
              </w:rPr>
            </w:pPr>
            <w:r w:rsidRPr="00695835">
              <w:rPr>
                <w:rFonts w:cs="Arial"/>
                <w:sz w:val="19"/>
                <w:szCs w:val="19"/>
              </w:rPr>
              <w:t>-370.57</w:t>
            </w:r>
          </w:p>
        </w:tc>
      </w:tr>
      <w:tr w:rsidR="00866495" w:rsidRPr="00695835" w14:paraId="34FDB658"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22D41F32" w14:textId="77777777" w:rsidR="00866495" w:rsidRPr="00695835" w:rsidRDefault="00866495" w:rsidP="0070500D">
            <w:pPr>
              <w:jc w:val="right"/>
              <w:rPr>
                <w:rFonts w:cs="Arial"/>
                <w:sz w:val="19"/>
                <w:szCs w:val="19"/>
              </w:rPr>
            </w:pPr>
            <w:r w:rsidRPr="00695835">
              <w:rPr>
                <w:rFonts w:cs="Arial"/>
                <w:sz w:val="19"/>
                <w:szCs w:val="19"/>
              </w:rPr>
              <w:t>Cr            269</w:t>
            </w:r>
          </w:p>
        </w:tc>
        <w:tc>
          <w:tcPr>
            <w:tcW w:w="6817" w:type="dxa"/>
            <w:tcBorders>
              <w:top w:val="nil"/>
              <w:left w:val="nil"/>
              <w:bottom w:val="nil"/>
              <w:right w:val="single" w:sz="4" w:space="0" w:color="auto"/>
            </w:tcBorders>
            <w:shd w:val="clear" w:color="auto" w:fill="auto"/>
            <w:noWrap/>
            <w:vAlign w:val="bottom"/>
            <w:hideMark/>
          </w:tcPr>
          <w:p w14:paraId="3EBD9383" w14:textId="77777777" w:rsidR="00866495" w:rsidRPr="00695835" w:rsidRDefault="00866495" w:rsidP="0070500D">
            <w:pPr>
              <w:rPr>
                <w:rFonts w:cs="Arial"/>
                <w:sz w:val="19"/>
                <w:szCs w:val="19"/>
              </w:rPr>
            </w:pPr>
            <w:r w:rsidRPr="00695835">
              <w:rPr>
                <w:rFonts w:cs="Arial"/>
                <w:sz w:val="19"/>
                <w:szCs w:val="19"/>
              </w:rPr>
              <w:t>Services Grant</w:t>
            </w:r>
          </w:p>
        </w:tc>
        <w:tc>
          <w:tcPr>
            <w:tcW w:w="1469" w:type="dxa"/>
            <w:tcBorders>
              <w:top w:val="nil"/>
              <w:left w:val="nil"/>
              <w:bottom w:val="nil"/>
              <w:right w:val="single" w:sz="4" w:space="0" w:color="auto"/>
            </w:tcBorders>
            <w:shd w:val="clear" w:color="auto" w:fill="auto"/>
            <w:noWrap/>
            <w:vAlign w:val="bottom"/>
            <w:hideMark/>
          </w:tcPr>
          <w:p w14:paraId="09D0D3F9" w14:textId="77777777" w:rsidR="00866495" w:rsidRPr="00695835" w:rsidRDefault="00866495" w:rsidP="0070500D">
            <w:pPr>
              <w:jc w:val="right"/>
              <w:rPr>
                <w:rFonts w:cs="Arial"/>
                <w:sz w:val="19"/>
                <w:szCs w:val="19"/>
              </w:rPr>
            </w:pPr>
            <w:r w:rsidRPr="00695835">
              <w:rPr>
                <w:rFonts w:cs="Arial"/>
                <w:sz w:val="19"/>
                <w:szCs w:val="19"/>
              </w:rPr>
              <w:t> </w:t>
            </w:r>
          </w:p>
        </w:tc>
        <w:tc>
          <w:tcPr>
            <w:tcW w:w="1398" w:type="dxa"/>
            <w:tcBorders>
              <w:top w:val="nil"/>
              <w:left w:val="nil"/>
              <w:bottom w:val="nil"/>
              <w:right w:val="single" w:sz="4" w:space="0" w:color="auto"/>
            </w:tcBorders>
            <w:shd w:val="clear" w:color="auto" w:fill="auto"/>
            <w:noWrap/>
            <w:vAlign w:val="bottom"/>
            <w:hideMark/>
          </w:tcPr>
          <w:p w14:paraId="2B60A098" w14:textId="77777777" w:rsidR="00866495" w:rsidRPr="00695835" w:rsidRDefault="00866495" w:rsidP="0070500D">
            <w:pPr>
              <w:jc w:val="right"/>
              <w:rPr>
                <w:rFonts w:cs="Arial"/>
                <w:sz w:val="19"/>
                <w:szCs w:val="19"/>
              </w:rPr>
            </w:pPr>
            <w:r w:rsidRPr="00695835">
              <w:rPr>
                <w:rFonts w:cs="Arial"/>
                <w:sz w:val="19"/>
                <w:szCs w:val="19"/>
              </w:rPr>
              <w:t> </w:t>
            </w:r>
          </w:p>
        </w:tc>
      </w:tr>
      <w:tr w:rsidR="00866495" w:rsidRPr="00695835" w14:paraId="5C215445"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0449209E" w14:textId="77777777" w:rsidR="00866495" w:rsidRPr="00695835" w:rsidRDefault="00866495" w:rsidP="0070500D">
            <w:pPr>
              <w:jc w:val="right"/>
              <w:rPr>
                <w:rFonts w:cs="Arial"/>
                <w:sz w:val="19"/>
                <w:szCs w:val="19"/>
              </w:rPr>
            </w:pPr>
            <w:r w:rsidRPr="00695835">
              <w:rPr>
                <w:rFonts w:cs="Arial"/>
                <w:sz w:val="19"/>
                <w:szCs w:val="19"/>
              </w:rPr>
              <w:t> </w:t>
            </w:r>
          </w:p>
        </w:tc>
        <w:tc>
          <w:tcPr>
            <w:tcW w:w="6817" w:type="dxa"/>
            <w:tcBorders>
              <w:top w:val="nil"/>
              <w:left w:val="nil"/>
              <w:bottom w:val="nil"/>
              <w:right w:val="single" w:sz="4" w:space="0" w:color="auto"/>
            </w:tcBorders>
            <w:shd w:val="clear" w:color="auto" w:fill="auto"/>
            <w:noWrap/>
            <w:vAlign w:val="bottom"/>
            <w:hideMark/>
          </w:tcPr>
          <w:p w14:paraId="04750E4A" w14:textId="77777777" w:rsidR="00866495" w:rsidRPr="00695835" w:rsidRDefault="00866495" w:rsidP="0070500D">
            <w:pPr>
              <w:rPr>
                <w:rFonts w:cs="Arial"/>
                <w:sz w:val="19"/>
                <w:szCs w:val="19"/>
              </w:rPr>
            </w:pPr>
            <w:r w:rsidRPr="00695835">
              <w:rPr>
                <w:rFonts w:cs="Arial"/>
                <w:sz w:val="19"/>
                <w:szCs w:val="19"/>
              </w:rPr>
              <w:t>Funding for National Insurance increase</w:t>
            </w:r>
          </w:p>
        </w:tc>
        <w:tc>
          <w:tcPr>
            <w:tcW w:w="1469" w:type="dxa"/>
            <w:tcBorders>
              <w:top w:val="nil"/>
              <w:left w:val="nil"/>
              <w:bottom w:val="nil"/>
              <w:right w:val="single" w:sz="4" w:space="0" w:color="auto"/>
            </w:tcBorders>
            <w:shd w:val="clear" w:color="auto" w:fill="auto"/>
            <w:noWrap/>
            <w:vAlign w:val="bottom"/>
            <w:hideMark/>
          </w:tcPr>
          <w:p w14:paraId="19B1EBE6" w14:textId="77777777" w:rsidR="00866495" w:rsidRPr="00695835" w:rsidRDefault="00866495" w:rsidP="0070500D">
            <w:pPr>
              <w:jc w:val="right"/>
              <w:rPr>
                <w:rFonts w:cs="Arial"/>
                <w:sz w:val="19"/>
                <w:szCs w:val="19"/>
              </w:rPr>
            </w:pPr>
            <w:r w:rsidRPr="00695835">
              <w:rPr>
                <w:rFonts w:cs="Arial"/>
                <w:sz w:val="19"/>
                <w:szCs w:val="19"/>
              </w:rPr>
              <w:t>Cr         2,363</w:t>
            </w:r>
          </w:p>
        </w:tc>
        <w:tc>
          <w:tcPr>
            <w:tcW w:w="1398" w:type="dxa"/>
            <w:tcBorders>
              <w:top w:val="nil"/>
              <w:left w:val="nil"/>
              <w:bottom w:val="nil"/>
              <w:right w:val="single" w:sz="4" w:space="0" w:color="auto"/>
            </w:tcBorders>
            <w:shd w:val="clear" w:color="auto" w:fill="auto"/>
            <w:noWrap/>
            <w:vAlign w:val="bottom"/>
            <w:hideMark/>
          </w:tcPr>
          <w:p w14:paraId="59B3A72D" w14:textId="77777777" w:rsidR="00866495" w:rsidRPr="00695835" w:rsidRDefault="00866495" w:rsidP="0070500D">
            <w:pPr>
              <w:jc w:val="right"/>
              <w:rPr>
                <w:rFonts w:cs="Arial"/>
                <w:sz w:val="19"/>
                <w:szCs w:val="19"/>
              </w:rPr>
            </w:pPr>
            <w:r w:rsidRPr="00695835">
              <w:rPr>
                <w:rFonts w:cs="Arial"/>
                <w:sz w:val="19"/>
                <w:szCs w:val="19"/>
              </w:rPr>
              <w:t>-17.19</w:t>
            </w:r>
          </w:p>
        </w:tc>
      </w:tr>
      <w:tr w:rsidR="00866495" w:rsidRPr="00695835" w14:paraId="6B32161C"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05AABCA0" w14:textId="77777777" w:rsidR="00866495" w:rsidRPr="00695835" w:rsidRDefault="00866495" w:rsidP="0070500D">
            <w:pPr>
              <w:jc w:val="right"/>
              <w:rPr>
                <w:rFonts w:cs="Arial"/>
                <w:sz w:val="19"/>
                <w:szCs w:val="19"/>
              </w:rPr>
            </w:pPr>
            <w:r w:rsidRPr="00695835">
              <w:rPr>
                <w:rFonts w:cs="Arial"/>
                <w:sz w:val="19"/>
                <w:szCs w:val="19"/>
              </w:rPr>
              <w:t> </w:t>
            </w:r>
          </w:p>
        </w:tc>
        <w:tc>
          <w:tcPr>
            <w:tcW w:w="6817" w:type="dxa"/>
            <w:tcBorders>
              <w:top w:val="nil"/>
              <w:left w:val="nil"/>
              <w:bottom w:val="nil"/>
              <w:right w:val="single" w:sz="4" w:space="0" w:color="auto"/>
            </w:tcBorders>
            <w:shd w:val="clear" w:color="auto" w:fill="auto"/>
            <w:noWrap/>
            <w:vAlign w:val="bottom"/>
            <w:hideMark/>
          </w:tcPr>
          <w:p w14:paraId="02130CA3" w14:textId="77777777" w:rsidR="00866495" w:rsidRPr="00695835" w:rsidRDefault="00866495" w:rsidP="0070500D">
            <w:pPr>
              <w:rPr>
                <w:rFonts w:cs="Arial"/>
                <w:sz w:val="19"/>
                <w:szCs w:val="19"/>
              </w:rPr>
            </w:pPr>
            <w:r w:rsidRPr="00695835">
              <w:rPr>
                <w:rFonts w:cs="Arial"/>
                <w:sz w:val="19"/>
                <w:szCs w:val="19"/>
              </w:rPr>
              <w:t>Collection Fund Surplus (previous years)</w:t>
            </w:r>
          </w:p>
        </w:tc>
        <w:tc>
          <w:tcPr>
            <w:tcW w:w="1469" w:type="dxa"/>
            <w:tcBorders>
              <w:top w:val="nil"/>
              <w:left w:val="nil"/>
              <w:bottom w:val="nil"/>
              <w:right w:val="single" w:sz="4" w:space="0" w:color="auto"/>
            </w:tcBorders>
            <w:shd w:val="clear" w:color="auto" w:fill="auto"/>
            <w:noWrap/>
            <w:vAlign w:val="bottom"/>
            <w:hideMark/>
          </w:tcPr>
          <w:p w14:paraId="2FD879C5" w14:textId="77777777" w:rsidR="00866495" w:rsidRPr="00695835" w:rsidRDefault="00866495" w:rsidP="0070500D">
            <w:pPr>
              <w:jc w:val="right"/>
              <w:rPr>
                <w:rFonts w:cs="Arial"/>
                <w:sz w:val="19"/>
                <w:szCs w:val="19"/>
              </w:rPr>
            </w:pPr>
            <w:r w:rsidRPr="00695835">
              <w:rPr>
                <w:rFonts w:cs="Arial"/>
                <w:sz w:val="19"/>
                <w:szCs w:val="19"/>
              </w:rPr>
              <w:t>Cr         3,000</w:t>
            </w:r>
          </w:p>
        </w:tc>
        <w:tc>
          <w:tcPr>
            <w:tcW w:w="1398" w:type="dxa"/>
            <w:tcBorders>
              <w:top w:val="nil"/>
              <w:left w:val="nil"/>
              <w:bottom w:val="nil"/>
              <w:right w:val="single" w:sz="4" w:space="0" w:color="auto"/>
            </w:tcBorders>
            <w:shd w:val="clear" w:color="auto" w:fill="auto"/>
            <w:noWrap/>
            <w:vAlign w:val="bottom"/>
            <w:hideMark/>
          </w:tcPr>
          <w:p w14:paraId="1EC44905" w14:textId="77777777" w:rsidR="00866495" w:rsidRPr="00695835" w:rsidRDefault="00866495" w:rsidP="0070500D">
            <w:pPr>
              <w:jc w:val="right"/>
              <w:rPr>
                <w:rFonts w:cs="Arial"/>
                <w:sz w:val="19"/>
                <w:szCs w:val="19"/>
              </w:rPr>
            </w:pPr>
            <w:r w:rsidRPr="00695835">
              <w:rPr>
                <w:rFonts w:cs="Arial"/>
                <w:sz w:val="19"/>
                <w:szCs w:val="19"/>
              </w:rPr>
              <w:t>-21.82</w:t>
            </w:r>
          </w:p>
        </w:tc>
      </w:tr>
      <w:tr w:rsidR="00866495" w:rsidRPr="00695835" w14:paraId="18325518"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7B873371" w14:textId="77777777" w:rsidR="00866495" w:rsidRPr="00695835" w:rsidRDefault="00866495" w:rsidP="0070500D">
            <w:pPr>
              <w:jc w:val="right"/>
              <w:rPr>
                <w:rFonts w:cs="Arial"/>
                <w:sz w:val="19"/>
                <w:szCs w:val="19"/>
              </w:rPr>
            </w:pPr>
            <w:r w:rsidRPr="00695835">
              <w:rPr>
                <w:rFonts w:cs="Arial"/>
                <w:sz w:val="19"/>
                <w:szCs w:val="19"/>
              </w:rPr>
              <w:t>Cr         2,500</w:t>
            </w:r>
          </w:p>
        </w:tc>
        <w:tc>
          <w:tcPr>
            <w:tcW w:w="6817" w:type="dxa"/>
            <w:tcBorders>
              <w:top w:val="nil"/>
              <w:left w:val="nil"/>
              <w:bottom w:val="nil"/>
              <w:right w:val="single" w:sz="4" w:space="0" w:color="auto"/>
            </w:tcBorders>
            <w:shd w:val="clear" w:color="auto" w:fill="auto"/>
            <w:noWrap/>
            <w:vAlign w:val="bottom"/>
            <w:hideMark/>
          </w:tcPr>
          <w:p w14:paraId="0CCD7F3F" w14:textId="77777777" w:rsidR="00866495" w:rsidRPr="00695835" w:rsidRDefault="00866495" w:rsidP="0070500D">
            <w:pPr>
              <w:rPr>
                <w:rFonts w:cs="Arial"/>
                <w:sz w:val="19"/>
                <w:szCs w:val="19"/>
              </w:rPr>
            </w:pPr>
            <w:r w:rsidRPr="00695835">
              <w:rPr>
                <w:rFonts w:cs="Arial"/>
                <w:sz w:val="19"/>
                <w:szCs w:val="19"/>
              </w:rPr>
              <w:t>Collection Fund Surplus (estimated 2022/23)</w:t>
            </w:r>
          </w:p>
        </w:tc>
        <w:tc>
          <w:tcPr>
            <w:tcW w:w="1469" w:type="dxa"/>
            <w:tcBorders>
              <w:top w:val="nil"/>
              <w:left w:val="nil"/>
              <w:bottom w:val="nil"/>
              <w:right w:val="single" w:sz="4" w:space="0" w:color="auto"/>
            </w:tcBorders>
            <w:shd w:val="clear" w:color="auto" w:fill="auto"/>
            <w:noWrap/>
            <w:vAlign w:val="bottom"/>
            <w:hideMark/>
          </w:tcPr>
          <w:p w14:paraId="42975DD7" w14:textId="77777777" w:rsidR="00866495" w:rsidRPr="00695835" w:rsidRDefault="00866495" w:rsidP="0070500D">
            <w:pPr>
              <w:jc w:val="right"/>
              <w:rPr>
                <w:rFonts w:cs="Arial"/>
                <w:sz w:val="19"/>
                <w:szCs w:val="19"/>
              </w:rPr>
            </w:pPr>
            <w:r w:rsidRPr="00695835">
              <w:rPr>
                <w:rFonts w:cs="Arial"/>
                <w:sz w:val="19"/>
                <w:szCs w:val="19"/>
              </w:rPr>
              <w:t> </w:t>
            </w:r>
          </w:p>
        </w:tc>
        <w:tc>
          <w:tcPr>
            <w:tcW w:w="1398" w:type="dxa"/>
            <w:tcBorders>
              <w:top w:val="nil"/>
              <w:left w:val="nil"/>
              <w:bottom w:val="nil"/>
              <w:right w:val="single" w:sz="4" w:space="0" w:color="auto"/>
            </w:tcBorders>
            <w:shd w:val="clear" w:color="auto" w:fill="auto"/>
            <w:noWrap/>
            <w:vAlign w:val="bottom"/>
            <w:hideMark/>
          </w:tcPr>
          <w:p w14:paraId="43F7E5A9" w14:textId="77777777" w:rsidR="00866495" w:rsidRPr="00695835" w:rsidRDefault="00866495" w:rsidP="0070500D">
            <w:pPr>
              <w:jc w:val="right"/>
              <w:rPr>
                <w:rFonts w:cs="Arial"/>
                <w:sz w:val="19"/>
                <w:szCs w:val="19"/>
              </w:rPr>
            </w:pPr>
            <w:r w:rsidRPr="00695835">
              <w:rPr>
                <w:rFonts w:cs="Arial"/>
                <w:sz w:val="19"/>
                <w:szCs w:val="19"/>
              </w:rPr>
              <w:t> </w:t>
            </w:r>
          </w:p>
        </w:tc>
      </w:tr>
      <w:tr w:rsidR="00866495" w:rsidRPr="00695835" w14:paraId="09431FB6"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5DF7453F" w14:textId="77777777" w:rsidR="00866495" w:rsidRPr="00695835" w:rsidRDefault="00866495" w:rsidP="0070500D">
            <w:pPr>
              <w:jc w:val="right"/>
              <w:rPr>
                <w:rFonts w:cs="Arial"/>
                <w:sz w:val="19"/>
                <w:szCs w:val="19"/>
              </w:rPr>
            </w:pPr>
            <w:r w:rsidRPr="00695835">
              <w:rPr>
                <w:rFonts w:cs="Arial"/>
                <w:sz w:val="19"/>
                <w:szCs w:val="19"/>
              </w:rPr>
              <w:t>Cr         3,400</w:t>
            </w:r>
          </w:p>
        </w:tc>
        <w:tc>
          <w:tcPr>
            <w:tcW w:w="6817" w:type="dxa"/>
            <w:tcBorders>
              <w:top w:val="nil"/>
              <w:left w:val="nil"/>
              <w:bottom w:val="nil"/>
              <w:right w:val="single" w:sz="4" w:space="0" w:color="auto"/>
            </w:tcBorders>
            <w:shd w:val="clear" w:color="auto" w:fill="auto"/>
            <w:noWrap/>
            <w:vAlign w:val="bottom"/>
            <w:hideMark/>
          </w:tcPr>
          <w:p w14:paraId="72285F52" w14:textId="77777777" w:rsidR="00866495" w:rsidRPr="00695835" w:rsidRDefault="00866495" w:rsidP="0070500D">
            <w:pPr>
              <w:rPr>
                <w:rFonts w:cs="Arial"/>
                <w:sz w:val="19"/>
                <w:szCs w:val="19"/>
              </w:rPr>
            </w:pPr>
            <w:r w:rsidRPr="00695835">
              <w:rPr>
                <w:rFonts w:cs="Arial"/>
                <w:sz w:val="19"/>
                <w:szCs w:val="19"/>
              </w:rPr>
              <w:t>Use of estimated 2023/24 Collection Fund Surplus (b/</w:t>
            </w:r>
            <w:proofErr w:type="spellStart"/>
            <w:r w:rsidRPr="00695835">
              <w:rPr>
                <w:rFonts w:cs="Arial"/>
                <w:sz w:val="19"/>
                <w:szCs w:val="19"/>
              </w:rPr>
              <w:t>fwd</w:t>
            </w:r>
            <w:proofErr w:type="spellEnd"/>
            <w:r w:rsidRPr="00695835">
              <w:rPr>
                <w:rFonts w:cs="Arial"/>
                <w:sz w:val="19"/>
                <w:szCs w:val="19"/>
              </w:rPr>
              <w:t xml:space="preserve">) </w:t>
            </w:r>
          </w:p>
        </w:tc>
        <w:tc>
          <w:tcPr>
            <w:tcW w:w="1469" w:type="dxa"/>
            <w:tcBorders>
              <w:top w:val="nil"/>
              <w:left w:val="nil"/>
              <w:bottom w:val="nil"/>
              <w:right w:val="single" w:sz="4" w:space="0" w:color="auto"/>
            </w:tcBorders>
            <w:shd w:val="clear" w:color="auto" w:fill="auto"/>
            <w:noWrap/>
            <w:vAlign w:val="bottom"/>
            <w:hideMark/>
          </w:tcPr>
          <w:p w14:paraId="11DDBA0A" w14:textId="77777777" w:rsidR="00866495" w:rsidRPr="00695835" w:rsidRDefault="00866495" w:rsidP="0070500D">
            <w:pPr>
              <w:jc w:val="right"/>
              <w:rPr>
                <w:rFonts w:cs="Arial"/>
                <w:sz w:val="19"/>
                <w:szCs w:val="19"/>
              </w:rPr>
            </w:pPr>
            <w:r w:rsidRPr="00695835">
              <w:rPr>
                <w:rFonts w:cs="Arial"/>
                <w:sz w:val="19"/>
                <w:szCs w:val="19"/>
              </w:rPr>
              <w:t> </w:t>
            </w:r>
          </w:p>
        </w:tc>
        <w:tc>
          <w:tcPr>
            <w:tcW w:w="1398" w:type="dxa"/>
            <w:tcBorders>
              <w:top w:val="nil"/>
              <w:left w:val="nil"/>
              <w:bottom w:val="nil"/>
              <w:right w:val="single" w:sz="4" w:space="0" w:color="auto"/>
            </w:tcBorders>
            <w:shd w:val="clear" w:color="auto" w:fill="auto"/>
            <w:noWrap/>
            <w:vAlign w:val="bottom"/>
            <w:hideMark/>
          </w:tcPr>
          <w:p w14:paraId="0236BED2" w14:textId="77777777" w:rsidR="00866495" w:rsidRPr="00695835" w:rsidRDefault="00866495" w:rsidP="0070500D">
            <w:pPr>
              <w:jc w:val="right"/>
              <w:rPr>
                <w:rFonts w:cs="Arial"/>
                <w:sz w:val="19"/>
                <w:szCs w:val="19"/>
              </w:rPr>
            </w:pPr>
            <w:r w:rsidRPr="00695835">
              <w:rPr>
                <w:rFonts w:cs="Arial"/>
                <w:sz w:val="19"/>
                <w:szCs w:val="19"/>
              </w:rPr>
              <w:t> </w:t>
            </w:r>
          </w:p>
        </w:tc>
      </w:tr>
      <w:tr w:rsidR="00866495" w:rsidRPr="00695835" w14:paraId="2116A16A"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6F243D0B" w14:textId="77777777" w:rsidR="00866495" w:rsidRPr="00695835" w:rsidRDefault="00866495" w:rsidP="0070500D">
            <w:pPr>
              <w:jc w:val="right"/>
              <w:rPr>
                <w:rFonts w:cs="Arial"/>
                <w:sz w:val="19"/>
                <w:szCs w:val="19"/>
              </w:rPr>
            </w:pPr>
            <w:r w:rsidRPr="00695835">
              <w:rPr>
                <w:rFonts w:cs="Arial"/>
                <w:sz w:val="19"/>
                <w:szCs w:val="19"/>
              </w:rPr>
              <w:t>Cr       10,000</w:t>
            </w:r>
          </w:p>
        </w:tc>
        <w:tc>
          <w:tcPr>
            <w:tcW w:w="6817" w:type="dxa"/>
            <w:tcBorders>
              <w:top w:val="nil"/>
              <w:left w:val="nil"/>
              <w:bottom w:val="nil"/>
              <w:right w:val="single" w:sz="4" w:space="0" w:color="auto"/>
            </w:tcBorders>
            <w:shd w:val="clear" w:color="auto" w:fill="auto"/>
            <w:noWrap/>
            <w:vAlign w:val="bottom"/>
            <w:hideMark/>
          </w:tcPr>
          <w:p w14:paraId="5C46BB1B" w14:textId="77777777" w:rsidR="00866495" w:rsidRPr="00695835" w:rsidRDefault="00866495" w:rsidP="0070500D">
            <w:pPr>
              <w:rPr>
                <w:rFonts w:cs="Arial"/>
                <w:sz w:val="19"/>
                <w:szCs w:val="19"/>
              </w:rPr>
            </w:pPr>
            <w:r w:rsidRPr="00695835">
              <w:rPr>
                <w:rFonts w:cs="Arial"/>
                <w:sz w:val="19"/>
                <w:szCs w:val="19"/>
              </w:rPr>
              <w:t>Contribution from Collection Fund Surplus Earmarked Reserve</w:t>
            </w:r>
          </w:p>
        </w:tc>
        <w:tc>
          <w:tcPr>
            <w:tcW w:w="1469" w:type="dxa"/>
            <w:tcBorders>
              <w:top w:val="nil"/>
              <w:left w:val="nil"/>
              <w:bottom w:val="nil"/>
              <w:right w:val="single" w:sz="4" w:space="0" w:color="auto"/>
            </w:tcBorders>
            <w:shd w:val="clear" w:color="auto" w:fill="auto"/>
            <w:noWrap/>
            <w:vAlign w:val="bottom"/>
            <w:hideMark/>
          </w:tcPr>
          <w:p w14:paraId="2084EFEC" w14:textId="77777777" w:rsidR="00866495" w:rsidRPr="00695835" w:rsidRDefault="00866495" w:rsidP="0070500D">
            <w:pPr>
              <w:jc w:val="right"/>
              <w:rPr>
                <w:rFonts w:cs="Arial"/>
                <w:sz w:val="19"/>
                <w:szCs w:val="19"/>
              </w:rPr>
            </w:pPr>
            <w:r w:rsidRPr="00695835">
              <w:rPr>
                <w:rFonts w:cs="Arial"/>
                <w:sz w:val="19"/>
                <w:szCs w:val="19"/>
              </w:rPr>
              <w:t>Cr       10,000</w:t>
            </w:r>
          </w:p>
        </w:tc>
        <w:tc>
          <w:tcPr>
            <w:tcW w:w="1398" w:type="dxa"/>
            <w:tcBorders>
              <w:top w:val="nil"/>
              <w:left w:val="nil"/>
              <w:bottom w:val="nil"/>
              <w:right w:val="single" w:sz="4" w:space="0" w:color="auto"/>
            </w:tcBorders>
            <w:shd w:val="clear" w:color="auto" w:fill="auto"/>
            <w:noWrap/>
            <w:vAlign w:val="bottom"/>
            <w:hideMark/>
          </w:tcPr>
          <w:p w14:paraId="26F506E7" w14:textId="77777777" w:rsidR="00866495" w:rsidRPr="00695835" w:rsidRDefault="00866495" w:rsidP="0070500D">
            <w:pPr>
              <w:jc w:val="right"/>
              <w:rPr>
                <w:rFonts w:cs="Arial"/>
                <w:sz w:val="19"/>
                <w:szCs w:val="19"/>
              </w:rPr>
            </w:pPr>
            <w:r w:rsidRPr="00695835">
              <w:rPr>
                <w:rFonts w:cs="Arial"/>
                <w:sz w:val="19"/>
                <w:szCs w:val="19"/>
              </w:rPr>
              <w:t>-72.73</w:t>
            </w:r>
          </w:p>
        </w:tc>
      </w:tr>
      <w:tr w:rsidR="00866495" w:rsidRPr="00695835" w14:paraId="140539EE"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7C3B1CA5" w14:textId="77777777" w:rsidR="00866495" w:rsidRPr="00695835" w:rsidRDefault="00866495" w:rsidP="0070500D">
            <w:pPr>
              <w:jc w:val="right"/>
              <w:rPr>
                <w:rFonts w:cs="Arial"/>
                <w:sz w:val="19"/>
                <w:szCs w:val="19"/>
              </w:rPr>
            </w:pPr>
            <w:r w:rsidRPr="00695835">
              <w:rPr>
                <w:rFonts w:cs="Arial"/>
                <w:sz w:val="19"/>
                <w:szCs w:val="19"/>
              </w:rPr>
              <w:t> </w:t>
            </w:r>
          </w:p>
        </w:tc>
        <w:tc>
          <w:tcPr>
            <w:tcW w:w="6817" w:type="dxa"/>
            <w:tcBorders>
              <w:top w:val="nil"/>
              <w:left w:val="nil"/>
              <w:bottom w:val="nil"/>
              <w:right w:val="single" w:sz="4" w:space="0" w:color="auto"/>
            </w:tcBorders>
            <w:shd w:val="clear" w:color="auto" w:fill="auto"/>
            <w:noWrap/>
            <w:vAlign w:val="bottom"/>
            <w:hideMark/>
          </w:tcPr>
          <w:p w14:paraId="02C6EE8A" w14:textId="77777777" w:rsidR="00866495" w:rsidRPr="00695835" w:rsidRDefault="00866495" w:rsidP="0070500D">
            <w:pPr>
              <w:rPr>
                <w:rFonts w:cs="Arial"/>
                <w:sz w:val="19"/>
                <w:szCs w:val="19"/>
              </w:rPr>
            </w:pPr>
            <w:r w:rsidRPr="00695835">
              <w:rPr>
                <w:rFonts w:cs="Arial"/>
                <w:sz w:val="19"/>
                <w:szCs w:val="19"/>
              </w:rPr>
              <w:t>Funding Budget Gap from Collection Fund Surplus Earmarked Reserve</w:t>
            </w:r>
          </w:p>
        </w:tc>
        <w:tc>
          <w:tcPr>
            <w:tcW w:w="1469" w:type="dxa"/>
            <w:tcBorders>
              <w:top w:val="nil"/>
              <w:left w:val="nil"/>
              <w:bottom w:val="nil"/>
              <w:right w:val="single" w:sz="4" w:space="0" w:color="auto"/>
            </w:tcBorders>
            <w:shd w:val="clear" w:color="auto" w:fill="auto"/>
            <w:noWrap/>
            <w:vAlign w:val="bottom"/>
            <w:hideMark/>
          </w:tcPr>
          <w:p w14:paraId="24B9DCB5" w14:textId="77777777" w:rsidR="00866495" w:rsidRPr="00695835" w:rsidRDefault="00866495" w:rsidP="0070500D">
            <w:pPr>
              <w:jc w:val="right"/>
              <w:rPr>
                <w:rFonts w:cs="Arial"/>
                <w:sz w:val="19"/>
                <w:szCs w:val="19"/>
              </w:rPr>
            </w:pPr>
            <w:r w:rsidRPr="00695835">
              <w:rPr>
                <w:rFonts w:cs="Arial"/>
                <w:sz w:val="19"/>
                <w:szCs w:val="19"/>
              </w:rPr>
              <w:t>Cr         2,465</w:t>
            </w:r>
          </w:p>
        </w:tc>
        <w:tc>
          <w:tcPr>
            <w:tcW w:w="1398" w:type="dxa"/>
            <w:tcBorders>
              <w:top w:val="nil"/>
              <w:left w:val="nil"/>
              <w:bottom w:val="nil"/>
              <w:right w:val="single" w:sz="4" w:space="0" w:color="auto"/>
            </w:tcBorders>
            <w:shd w:val="clear" w:color="auto" w:fill="auto"/>
            <w:noWrap/>
            <w:vAlign w:val="bottom"/>
            <w:hideMark/>
          </w:tcPr>
          <w:p w14:paraId="0954C48E" w14:textId="77777777" w:rsidR="00866495" w:rsidRPr="00695835" w:rsidRDefault="00866495" w:rsidP="0070500D">
            <w:pPr>
              <w:jc w:val="right"/>
              <w:rPr>
                <w:rFonts w:cs="Arial"/>
                <w:sz w:val="19"/>
                <w:szCs w:val="19"/>
              </w:rPr>
            </w:pPr>
            <w:r w:rsidRPr="00695835">
              <w:rPr>
                <w:rFonts w:cs="Arial"/>
                <w:sz w:val="19"/>
                <w:szCs w:val="19"/>
              </w:rPr>
              <w:t>-17.93</w:t>
            </w:r>
          </w:p>
        </w:tc>
      </w:tr>
      <w:tr w:rsidR="00866495" w:rsidRPr="00695835" w14:paraId="43842C40" w14:textId="77777777" w:rsidTr="0070500D">
        <w:trPr>
          <w:trHeight w:val="256"/>
        </w:trPr>
        <w:tc>
          <w:tcPr>
            <w:tcW w:w="1490" w:type="dxa"/>
            <w:tcBorders>
              <w:top w:val="nil"/>
              <w:left w:val="single" w:sz="4" w:space="0" w:color="auto"/>
              <w:bottom w:val="nil"/>
              <w:right w:val="single" w:sz="4" w:space="0" w:color="auto"/>
            </w:tcBorders>
            <w:shd w:val="clear" w:color="auto" w:fill="auto"/>
            <w:noWrap/>
            <w:vAlign w:val="bottom"/>
            <w:hideMark/>
          </w:tcPr>
          <w:p w14:paraId="278C17BC" w14:textId="77777777" w:rsidR="00866495" w:rsidRPr="00695835" w:rsidRDefault="00866495" w:rsidP="0070500D">
            <w:pPr>
              <w:jc w:val="right"/>
              <w:rPr>
                <w:rFonts w:cs="Arial"/>
                <w:sz w:val="19"/>
                <w:szCs w:val="19"/>
              </w:rPr>
            </w:pPr>
            <w:r w:rsidRPr="00695835">
              <w:rPr>
                <w:rFonts w:cs="Arial"/>
                <w:sz w:val="19"/>
                <w:szCs w:val="19"/>
              </w:rPr>
              <w:t> </w:t>
            </w:r>
          </w:p>
        </w:tc>
        <w:tc>
          <w:tcPr>
            <w:tcW w:w="6817" w:type="dxa"/>
            <w:tcBorders>
              <w:top w:val="nil"/>
              <w:left w:val="nil"/>
              <w:bottom w:val="nil"/>
              <w:right w:val="single" w:sz="4" w:space="0" w:color="auto"/>
            </w:tcBorders>
            <w:shd w:val="clear" w:color="auto" w:fill="auto"/>
            <w:noWrap/>
            <w:vAlign w:val="bottom"/>
            <w:hideMark/>
          </w:tcPr>
          <w:p w14:paraId="44774A95" w14:textId="77777777" w:rsidR="00866495" w:rsidRPr="00695835" w:rsidRDefault="00866495" w:rsidP="0070500D">
            <w:pPr>
              <w:rPr>
                <w:rFonts w:cs="Arial"/>
                <w:sz w:val="19"/>
                <w:szCs w:val="19"/>
              </w:rPr>
            </w:pPr>
            <w:r w:rsidRPr="00695835">
              <w:rPr>
                <w:rFonts w:cs="Arial"/>
                <w:sz w:val="19"/>
                <w:szCs w:val="19"/>
              </w:rPr>
              <w:t>Business rate retention surplus</w:t>
            </w:r>
          </w:p>
        </w:tc>
        <w:tc>
          <w:tcPr>
            <w:tcW w:w="1469" w:type="dxa"/>
            <w:tcBorders>
              <w:top w:val="nil"/>
              <w:left w:val="nil"/>
              <w:bottom w:val="nil"/>
              <w:right w:val="single" w:sz="4" w:space="0" w:color="auto"/>
            </w:tcBorders>
            <w:shd w:val="clear" w:color="auto" w:fill="auto"/>
            <w:noWrap/>
            <w:vAlign w:val="bottom"/>
            <w:hideMark/>
          </w:tcPr>
          <w:p w14:paraId="2F751451" w14:textId="77777777" w:rsidR="00866495" w:rsidRPr="00695835" w:rsidRDefault="00866495" w:rsidP="0070500D">
            <w:pPr>
              <w:jc w:val="right"/>
              <w:rPr>
                <w:rFonts w:cs="Arial"/>
                <w:sz w:val="19"/>
                <w:szCs w:val="19"/>
              </w:rPr>
            </w:pPr>
            <w:r w:rsidRPr="00695835">
              <w:rPr>
                <w:rFonts w:cs="Arial"/>
                <w:sz w:val="19"/>
                <w:szCs w:val="19"/>
              </w:rPr>
              <w:t>Cr         1,500</w:t>
            </w:r>
          </w:p>
        </w:tc>
        <w:tc>
          <w:tcPr>
            <w:tcW w:w="1398" w:type="dxa"/>
            <w:tcBorders>
              <w:top w:val="nil"/>
              <w:left w:val="nil"/>
              <w:bottom w:val="nil"/>
              <w:right w:val="single" w:sz="4" w:space="0" w:color="auto"/>
            </w:tcBorders>
            <w:shd w:val="clear" w:color="auto" w:fill="auto"/>
            <w:noWrap/>
            <w:vAlign w:val="bottom"/>
            <w:hideMark/>
          </w:tcPr>
          <w:p w14:paraId="39992744" w14:textId="77777777" w:rsidR="00866495" w:rsidRPr="00695835" w:rsidRDefault="00866495" w:rsidP="0070500D">
            <w:pPr>
              <w:jc w:val="right"/>
              <w:rPr>
                <w:rFonts w:cs="Arial"/>
                <w:sz w:val="19"/>
                <w:szCs w:val="19"/>
              </w:rPr>
            </w:pPr>
            <w:r w:rsidRPr="00695835">
              <w:rPr>
                <w:rFonts w:cs="Arial"/>
                <w:sz w:val="19"/>
                <w:szCs w:val="19"/>
              </w:rPr>
              <w:t>-10.91</w:t>
            </w:r>
          </w:p>
        </w:tc>
      </w:tr>
      <w:tr w:rsidR="00866495" w:rsidRPr="00695835" w14:paraId="1405325E" w14:textId="77777777" w:rsidTr="0070500D">
        <w:trPr>
          <w:trHeight w:val="247"/>
        </w:trPr>
        <w:tc>
          <w:tcPr>
            <w:tcW w:w="1490" w:type="dxa"/>
            <w:tcBorders>
              <w:top w:val="nil"/>
              <w:left w:val="single" w:sz="4" w:space="0" w:color="auto"/>
              <w:bottom w:val="nil"/>
              <w:right w:val="single" w:sz="4" w:space="0" w:color="auto"/>
            </w:tcBorders>
            <w:shd w:val="clear" w:color="auto" w:fill="auto"/>
            <w:noWrap/>
            <w:vAlign w:val="bottom"/>
            <w:hideMark/>
          </w:tcPr>
          <w:p w14:paraId="40A27734" w14:textId="77777777" w:rsidR="00866495" w:rsidRPr="00695835" w:rsidRDefault="00866495" w:rsidP="0070500D">
            <w:pPr>
              <w:jc w:val="right"/>
              <w:rPr>
                <w:rFonts w:cs="Arial"/>
                <w:sz w:val="19"/>
                <w:szCs w:val="19"/>
              </w:rPr>
            </w:pPr>
            <w:r w:rsidRPr="00695835">
              <w:rPr>
                <w:rFonts w:cs="Arial"/>
                <w:sz w:val="19"/>
                <w:szCs w:val="19"/>
              </w:rPr>
              <w:t>Cr            580</w:t>
            </w:r>
          </w:p>
        </w:tc>
        <w:tc>
          <w:tcPr>
            <w:tcW w:w="6817" w:type="dxa"/>
            <w:tcBorders>
              <w:top w:val="nil"/>
              <w:left w:val="nil"/>
              <w:bottom w:val="nil"/>
              <w:right w:val="single" w:sz="4" w:space="0" w:color="auto"/>
            </w:tcBorders>
            <w:shd w:val="clear" w:color="auto" w:fill="auto"/>
            <w:vAlign w:val="bottom"/>
            <w:hideMark/>
          </w:tcPr>
          <w:p w14:paraId="33C3EB92" w14:textId="77777777" w:rsidR="00866495" w:rsidRPr="00695835" w:rsidRDefault="00866495" w:rsidP="0070500D">
            <w:pPr>
              <w:rPr>
                <w:rFonts w:cs="Arial"/>
                <w:sz w:val="19"/>
                <w:szCs w:val="19"/>
              </w:rPr>
            </w:pPr>
            <w:r w:rsidRPr="00695835">
              <w:rPr>
                <w:rFonts w:cs="Arial"/>
                <w:sz w:val="19"/>
                <w:szCs w:val="19"/>
              </w:rPr>
              <w:t>Use of Specific Earmarked reserve created during 2022-23 to fund additional social work post</w:t>
            </w:r>
          </w:p>
        </w:tc>
        <w:tc>
          <w:tcPr>
            <w:tcW w:w="1469" w:type="dxa"/>
            <w:tcBorders>
              <w:top w:val="nil"/>
              <w:left w:val="nil"/>
              <w:bottom w:val="nil"/>
              <w:right w:val="single" w:sz="4" w:space="0" w:color="auto"/>
            </w:tcBorders>
            <w:shd w:val="clear" w:color="auto" w:fill="auto"/>
            <w:noWrap/>
            <w:vAlign w:val="bottom"/>
            <w:hideMark/>
          </w:tcPr>
          <w:p w14:paraId="7E31062B" w14:textId="77777777" w:rsidR="00866495" w:rsidRPr="00695835" w:rsidRDefault="00866495" w:rsidP="0070500D">
            <w:pPr>
              <w:jc w:val="right"/>
              <w:rPr>
                <w:rFonts w:cs="Arial"/>
                <w:sz w:val="19"/>
                <w:szCs w:val="19"/>
              </w:rPr>
            </w:pPr>
            <w:r w:rsidRPr="00695835">
              <w:rPr>
                <w:rFonts w:cs="Arial"/>
                <w:sz w:val="19"/>
                <w:szCs w:val="19"/>
              </w:rPr>
              <w:t>Cr           290</w:t>
            </w:r>
          </w:p>
        </w:tc>
        <w:tc>
          <w:tcPr>
            <w:tcW w:w="1398" w:type="dxa"/>
            <w:tcBorders>
              <w:top w:val="nil"/>
              <w:left w:val="nil"/>
              <w:bottom w:val="nil"/>
              <w:right w:val="single" w:sz="4" w:space="0" w:color="auto"/>
            </w:tcBorders>
            <w:shd w:val="clear" w:color="auto" w:fill="auto"/>
            <w:noWrap/>
            <w:vAlign w:val="bottom"/>
            <w:hideMark/>
          </w:tcPr>
          <w:p w14:paraId="39C6A06C" w14:textId="77777777" w:rsidR="00866495" w:rsidRPr="00695835" w:rsidRDefault="00866495" w:rsidP="0070500D">
            <w:pPr>
              <w:jc w:val="right"/>
              <w:rPr>
                <w:rFonts w:cs="Arial"/>
                <w:sz w:val="19"/>
                <w:szCs w:val="19"/>
              </w:rPr>
            </w:pPr>
            <w:r w:rsidRPr="00695835">
              <w:rPr>
                <w:rFonts w:cs="Arial"/>
                <w:sz w:val="19"/>
                <w:szCs w:val="19"/>
              </w:rPr>
              <w:t>-2.11</w:t>
            </w:r>
          </w:p>
        </w:tc>
      </w:tr>
      <w:tr w:rsidR="00866495" w:rsidRPr="00695835" w14:paraId="7FBF57FD" w14:textId="77777777" w:rsidTr="0070500D">
        <w:trPr>
          <w:trHeight w:val="247"/>
        </w:trPr>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9FF8A" w14:textId="77777777" w:rsidR="00866495" w:rsidRPr="00695835" w:rsidRDefault="00866495" w:rsidP="0070500D">
            <w:pPr>
              <w:jc w:val="right"/>
              <w:rPr>
                <w:rFonts w:cs="Arial"/>
                <w:b/>
                <w:bCs/>
                <w:sz w:val="19"/>
                <w:szCs w:val="19"/>
              </w:rPr>
            </w:pPr>
            <w:r w:rsidRPr="00695835">
              <w:rPr>
                <w:rFonts w:cs="Arial"/>
                <w:b/>
                <w:bCs/>
                <w:sz w:val="19"/>
                <w:szCs w:val="19"/>
              </w:rPr>
              <w:t>200,016</w:t>
            </w:r>
          </w:p>
        </w:tc>
        <w:tc>
          <w:tcPr>
            <w:tcW w:w="6817" w:type="dxa"/>
            <w:tcBorders>
              <w:top w:val="single" w:sz="4" w:space="0" w:color="auto"/>
              <w:left w:val="nil"/>
              <w:bottom w:val="single" w:sz="4" w:space="0" w:color="auto"/>
              <w:right w:val="single" w:sz="4" w:space="0" w:color="auto"/>
            </w:tcBorders>
            <w:shd w:val="clear" w:color="auto" w:fill="auto"/>
            <w:noWrap/>
            <w:vAlign w:val="bottom"/>
            <w:hideMark/>
          </w:tcPr>
          <w:p w14:paraId="4B7D1E3C" w14:textId="77777777" w:rsidR="00866495" w:rsidRPr="00695835" w:rsidRDefault="00866495" w:rsidP="0070500D">
            <w:pPr>
              <w:rPr>
                <w:rFonts w:cs="Arial"/>
                <w:b/>
                <w:bCs/>
                <w:sz w:val="19"/>
                <w:szCs w:val="19"/>
              </w:rPr>
            </w:pPr>
            <w:r w:rsidRPr="00695835">
              <w:rPr>
                <w:rFonts w:cs="Arial"/>
                <w:b/>
                <w:bCs/>
                <w:sz w:val="19"/>
                <w:szCs w:val="19"/>
              </w:rPr>
              <w:t xml:space="preserve">Bromley's Requirement (excluding GLA) </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14:paraId="19FDBA1E" w14:textId="77777777" w:rsidR="00866495" w:rsidRPr="00695835" w:rsidRDefault="00866495" w:rsidP="0070500D">
            <w:pPr>
              <w:jc w:val="right"/>
              <w:rPr>
                <w:rFonts w:cs="Arial"/>
                <w:b/>
                <w:bCs/>
                <w:sz w:val="19"/>
                <w:szCs w:val="19"/>
              </w:rPr>
            </w:pPr>
            <w:r w:rsidRPr="00695835">
              <w:rPr>
                <w:rFonts w:cs="Arial"/>
                <w:b/>
                <w:bCs/>
                <w:sz w:val="19"/>
                <w:szCs w:val="19"/>
              </w:rPr>
              <w:t>213,396</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35D9CDF7" w14:textId="77777777" w:rsidR="00866495" w:rsidRPr="00695835" w:rsidRDefault="00866495" w:rsidP="0070500D">
            <w:pPr>
              <w:jc w:val="right"/>
              <w:rPr>
                <w:rFonts w:cs="Arial"/>
                <w:b/>
                <w:bCs/>
                <w:sz w:val="19"/>
                <w:szCs w:val="19"/>
              </w:rPr>
            </w:pPr>
            <w:r w:rsidRPr="00695835">
              <w:rPr>
                <w:rFonts w:cs="Arial"/>
                <w:b/>
                <w:bCs/>
                <w:sz w:val="19"/>
                <w:szCs w:val="19"/>
              </w:rPr>
              <w:t>1,552.08</w:t>
            </w:r>
          </w:p>
        </w:tc>
      </w:tr>
      <w:tr w:rsidR="00866495" w:rsidRPr="00695835" w14:paraId="71319997" w14:textId="77777777" w:rsidTr="0070500D">
        <w:trPr>
          <w:trHeight w:val="247"/>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14:paraId="6A9F8E40" w14:textId="77777777" w:rsidR="00866495" w:rsidRPr="00695835" w:rsidRDefault="00866495" w:rsidP="0070500D">
            <w:pPr>
              <w:jc w:val="right"/>
              <w:rPr>
                <w:rFonts w:cs="Arial"/>
                <w:b/>
                <w:bCs/>
                <w:sz w:val="19"/>
                <w:szCs w:val="19"/>
              </w:rPr>
            </w:pPr>
            <w:r w:rsidRPr="00695835">
              <w:rPr>
                <w:rFonts w:cs="Arial"/>
                <w:b/>
                <w:bCs/>
                <w:sz w:val="19"/>
                <w:szCs w:val="19"/>
              </w:rPr>
              <w:t> </w:t>
            </w:r>
          </w:p>
        </w:tc>
        <w:tc>
          <w:tcPr>
            <w:tcW w:w="6817" w:type="dxa"/>
            <w:tcBorders>
              <w:top w:val="nil"/>
              <w:left w:val="nil"/>
              <w:bottom w:val="single" w:sz="4" w:space="0" w:color="auto"/>
              <w:right w:val="single" w:sz="4" w:space="0" w:color="auto"/>
            </w:tcBorders>
            <w:shd w:val="clear" w:color="auto" w:fill="auto"/>
            <w:noWrap/>
            <w:vAlign w:val="bottom"/>
            <w:hideMark/>
          </w:tcPr>
          <w:p w14:paraId="06212B82" w14:textId="77777777" w:rsidR="00866495" w:rsidRPr="00695835" w:rsidRDefault="00866495" w:rsidP="0070500D">
            <w:pPr>
              <w:rPr>
                <w:rFonts w:cs="Arial"/>
                <w:b/>
                <w:bCs/>
                <w:sz w:val="19"/>
                <w:szCs w:val="19"/>
              </w:rPr>
            </w:pPr>
            <w:r w:rsidRPr="00695835">
              <w:rPr>
                <w:rFonts w:cs="Arial"/>
                <w:b/>
                <w:bCs/>
                <w:sz w:val="19"/>
                <w:szCs w:val="19"/>
              </w:rPr>
              <w:t> </w:t>
            </w:r>
          </w:p>
        </w:tc>
        <w:tc>
          <w:tcPr>
            <w:tcW w:w="1469" w:type="dxa"/>
            <w:tcBorders>
              <w:top w:val="nil"/>
              <w:left w:val="nil"/>
              <w:bottom w:val="nil"/>
              <w:right w:val="nil"/>
            </w:tcBorders>
            <w:shd w:val="clear" w:color="auto" w:fill="auto"/>
            <w:noWrap/>
            <w:vAlign w:val="bottom"/>
            <w:hideMark/>
          </w:tcPr>
          <w:p w14:paraId="418ED02D" w14:textId="77777777" w:rsidR="00866495" w:rsidRPr="00695835" w:rsidRDefault="00866495" w:rsidP="0070500D">
            <w:pPr>
              <w:jc w:val="right"/>
              <w:rPr>
                <w:rFonts w:cs="Arial"/>
                <w:b/>
                <w:bCs/>
                <w:sz w:val="19"/>
                <w:szCs w:val="19"/>
              </w:rPr>
            </w:pPr>
          </w:p>
        </w:tc>
        <w:tc>
          <w:tcPr>
            <w:tcW w:w="1398" w:type="dxa"/>
            <w:tcBorders>
              <w:top w:val="nil"/>
              <w:left w:val="nil"/>
              <w:bottom w:val="nil"/>
              <w:right w:val="nil"/>
            </w:tcBorders>
            <w:shd w:val="clear" w:color="auto" w:fill="auto"/>
            <w:noWrap/>
            <w:vAlign w:val="bottom"/>
            <w:hideMark/>
          </w:tcPr>
          <w:p w14:paraId="1ED51FCC" w14:textId="77777777" w:rsidR="00866495" w:rsidRPr="00695835" w:rsidRDefault="00866495" w:rsidP="0070500D">
            <w:pPr>
              <w:rPr>
                <w:rFonts w:ascii="Times New Roman" w:hAnsi="Times New Roman"/>
                <w:sz w:val="19"/>
                <w:szCs w:val="19"/>
              </w:rPr>
            </w:pPr>
          </w:p>
        </w:tc>
      </w:tr>
      <w:tr w:rsidR="00866495" w:rsidRPr="00695835" w14:paraId="2A7333D7" w14:textId="77777777" w:rsidTr="0070500D">
        <w:trPr>
          <w:trHeight w:val="247"/>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14:paraId="16DE36CF" w14:textId="77777777" w:rsidR="00866495" w:rsidRPr="00695835" w:rsidRDefault="00866495" w:rsidP="0070500D">
            <w:pPr>
              <w:jc w:val="right"/>
              <w:rPr>
                <w:rFonts w:cs="Arial"/>
                <w:b/>
                <w:bCs/>
                <w:sz w:val="19"/>
                <w:szCs w:val="19"/>
              </w:rPr>
            </w:pPr>
            <w:r w:rsidRPr="00695835">
              <w:rPr>
                <w:rFonts w:cs="Arial"/>
                <w:b/>
                <w:bCs/>
                <w:sz w:val="19"/>
                <w:szCs w:val="19"/>
              </w:rPr>
              <w:t>63,780</w:t>
            </w:r>
          </w:p>
        </w:tc>
        <w:tc>
          <w:tcPr>
            <w:tcW w:w="6817" w:type="dxa"/>
            <w:tcBorders>
              <w:top w:val="nil"/>
              <w:left w:val="nil"/>
              <w:bottom w:val="single" w:sz="4" w:space="0" w:color="auto"/>
              <w:right w:val="single" w:sz="4" w:space="0" w:color="auto"/>
            </w:tcBorders>
            <w:shd w:val="clear" w:color="auto" w:fill="auto"/>
            <w:noWrap/>
            <w:vAlign w:val="bottom"/>
            <w:hideMark/>
          </w:tcPr>
          <w:p w14:paraId="65E96DE7" w14:textId="77777777" w:rsidR="00866495" w:rsidRPr="00695835" w:rsidRDefault="00866495" w:rsidP="0070500D">
            <w:pPr>
              <w:rPr>
                <w:rFonts w:cs="Arial"/>
                <w:b/>
                <w:bCs/>
                <w:sz w:val="19"/>
                <w:szCs w:val="19"/>
              </w:rPr>
            </w:pPr>
            <w:r w:rsidRPr="00695835">
              <w:rPr>
                <w:rFonts w:cs="Arial"/>
                <w:b/>
                <w:bCs/>
                <w:sz w:val="19"/>
                <w:szCs w:val="19"/>
              </w:rPr>
              <w:t>Greater London Authority Precept</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14:paraId="472A146E" w14:textId="77777777" w:rsidR="00866495" w:rsidRPr="00695835" w:rsidRDefault="00866495" w:rsidP="0070500D">
            <w:pPr>
              <w:jc w:val="right"/>
              <w:rPr>
                <w:rFonts w:cs="Arial"/>
                <w:b/>
                <w:bCs/>
                <w:sz w:val="19"/>
                <w:szCs w:val="19"/>
              </w:rPr>
            </w:pPr>
            <w:r w:rsidRPr="00695835">
              <w:rPr>
                <w:rFonts w:cs="Arial"/>
                <w:b/>
                <w:bCs/>
                <w:sz w:val="19"/>
                <w:szCs w:val="19"/>
              </w:rPr>
              <w:t>67,422</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345E8DD0" w14:textId="77777777" w:rsidR="00866495" w:rsidRPr="00695835" w:rsidRDefault="00866495" w:rsidP="0070500D">
            <w:pPr>
              <w:jc w:val="right"/>
              <w:rPr>
                <w:rFonts w:cs="Arial"/>
                <w:b/>
                <w:bCs/>
                <w:sz w:val="19"/>
                <w:szCs w:val="19"/>
              </w:rPr>
            </w:pPr>
            <w:r w:rsidRPr="00695835">
              <w:rPr>
                <w:rFonts w:cs="Arial"/>
                <w:b/>
                <w:bCs/>
                <w:sz w:val="19"/>
                <w:szCs w:val="19"/>
              </w:rPr>
              <w:t>490.38</w:t>
            </w:r>
          </w:p>
        </w:tc>
      </w:tr>
      <w:tr w:rsidR="00866495" w:rsidRPr="00695835" w14:paraId="7C8F848C" w14:textId="77777777" w:rsidTr="0070500D">
        <w:trPr>
          <w:trHeight w:val="247"/>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14:paraId="20987954" w14:textId="77777777" w:rsidR="00866495" w:rsidRPr="00695835" w:rsidRDefault="00866495" w:rsidP="0070500D">
            <w:pPr>
              <w:jc w:val="right"/>
              <w:rPr>
                <w:rFonts w:cs="Arial"/>
                <w:b/>
                <w:bCs/>
                <w:sz w:val="19"/>
                <w:szCs w:val="19"/>
              </w:rPr>
            </w:pPr>
            <w:r w:rsidRPr="00695835">
              <w:rPr>
                <w:rFonts w:cs="Arial"/>
                <w:b/>
                <w:bCs/>
                <w:sz w:val="19"/>
                <w:szCs w:val="19"/>
              </w:rPr>
              <w:t> </w:t>
            </w:r>
          </w:p>
        </w:tc>
        <w:tc>
          <w:tcPr>
            <w:tcW w:w="6817" w:type="dxa"/>
            <w:tcBorders>
              <w:top w:val="nil"/>
              <w:left w:val="nil"/>
              <w:bottom w:val="single" w:sz="4" w:space="0" w:color="auto"/>
              <w:right w:val="single" w:sz="4" w:space="0" w:color="auto"/>
            </w:tcBorders>
            <w:shd w:val="clear" w:color="auto" w:fill="auto"/>
            <w:noWrap/>
            <w:vAlign w:val="bottom"/>
            <w:hideMark/>
          </w:tcPr>
          <w:p w14:paraId="1473442A" w14:textId="77777777" w:rsidR="00866495" w:rsidRPr="00695835" w:rsidRDefault="00866495" w:rsidP="0070500D">
            <w:pPr>
              <w:rPr>
                <w:rFonts w:cs="Arial"/>
                <w:b/>
                <w:bCs/>
                <w:sz w:val="19"/>
                <w:szCs w:val="19"/>
              </w:rPr>
            </w:pPr>
            <w:r w:rsidRPr="00695835">
              <w:rPr>
                <w:rFonts w:cs="Arial"/>
                <w:b/>
                <w:bCs/>
                <w:sz w:val="19"/>
                <w:szCs w:val="19"/>
              </w:rPr>
              <w:t> </w:t>
            </w:r>
          </w:p>
        </w:tc>
        <w:tc>
          <w:tcPr>
            <w:tcW w:w="1469" w:type="dxa"/>
            <w:tcBorders>
              <w:top w:val="nil"/>
              <w:left w:val="nil"/>
              <w:bottom w:val="single" w:sz="4" w:space="0" w:color="auto"/>
              <w:right w:val="single" w:sz="4" w:space="0" w:color="auto"/>
            </w:tcBorders>
            <w:shd w:val="clear" w:color="auto" w:fill="auto"/>
            <w:noWrap/>
            <w:vAlign w:val="bottom"/>
            <w:hideMark/>
          </w:tcPr>
          <w:p w14:paraId="250ABF06" w14:textId="77777777" w:rsidR="00866495" w:rsidRPr="00695835" w:rsidRDefault="00866495" w:rsidP="0070500D">
            <w:pPr>
              <w:jc w:val="right"/>
              <w:rPr>
                <w:rFonts w:cs="Arial"/>
                <w:b/>
                <w:bCs/>
                <w:sz w:val="19"/>
                <w:szCs w:val="19"/>
              </w:rPr>
            </w:pPr>
            <w:r w:rsidRPr="00695835">
              <w:rPr>
                <w:rFonts w:cs="Arial"/>
                <w:b/>
                <w:bCs/>
                <w:sz w:val="19"/>
                <w:szCs w:val="19"/>
              </w:rPr>
              <w:t> </w:t>
            </w:r>
          </w:p>
        </w:tc>
        <w:tc>
          <w:tcPr>
            <w:tcW w:w="1398" w:type="dxa"/>
            <w:tcBorders>
              <w:top w:val="nil"/>
              <w:left w:val="nil"/>
              <w:bottom w:val="single" w:sz="4" w:space="0" w:color="auto"/>
              <w:right w:val="single" w:sz="4" w:space="0" w:color="auto"/>
            </w:tcBorders>
            <w:shd w:val="clear" w:color="auto" w:fill="auto"/>
            <w:noWrap/>
            <w:vAlign w:val="bottom"/>
            <w:hideMark/>
          </w:tcPr>
          <w:p w14:paraId="284F12C3" w14:textId="77777777" w:rsidR="00866495" w:rsidRPr="00695835" w:rsidRDefault="00866495" w:rsidP="0070500D">
            <w:pPr>
              <w:jc w:val="right"/>
              <w:rPr>
                <w:rFonts w:cs="Arial"/>
                <w:b/>
                <w:bCs/>
                <w:sz w:val="19"/>
                <w:szCs w:val="19"/>
              </w:rPr>
            </w:pPr>
            <w:r w:rsidRPr="00695835">
              <w:rPr>
                <w:rFonts w:cs="Arial"/>
                <w:b/>
                <w:bCs/>
                <w:sz w:val="19"/>
                <w:szCs w:val="19"/>
              </w:rPr>
              <w:t> </w:t>
            </w:r>
          </w:p>
        </w:tc>
      </w:tr>
      <w:tr w:rsidR="00866495" w:rsidRPr="00695835" w14:paraId="4103A238" w14:textId="77777777" w:rsidTr="0070500D">
        <w:trPr>
          <w:trHeight w:val="256"/>
        </w:trPr>
        <w:tc>
          <w:tcPr>
            <w:tcW w:w="1490" w:type="dxa"/>
            <w:tcBorders>
              <w:top w:val="nil"/>
              <w:left w:val="single" w:sz="4" w:space="0" w:color="auto"/>
              <w:bottom w:val="single" w:sz="4" w:space="0" w:color="auto"/>
              <w:right w:val="single" w:sz="4" w:space="0" w:color="auto"/>
            </w:tcBorders>
            <w:shd w:val="clear" w:color="auto" w:fill="auto"/>
            <w:noWrap/>
            <w:vAlign w:val="bottom"/>
            <w:hideMark/>
          </w:tcPr>
          <w:p w14:paraId="28DCFA87" w14:textId="77777777" w:rsidR="00866495" w:rsidRPr="00695835" w:rsidRDefault="00866495" w:rsidP="0070500D">
            <w:pPr>
              <w:jc w:val="right"/>
              <w:rPr>
                <w:rFonts w:cs="Arial"/>
                <w:b/>
                <w:bCs/>
                <w:sz w:val="19"/>
                <w:szCs w:val="19"/>
              </w:rPr>
            </w:pPr>
            <w:r w:rsidRPr="00695835">
              <w:rPr>
                <w:rFonts w:cs="Arial"/>
                <w:b/>
                <w:bCs/>
                <w:sz w:val="19"/>
                <w:szCs w:val="19"/>
              </w:rPr>
              <w:t>263,796</w:t>
            </w:r>
          </w:p>
        </w:tc>
        <w:tc>
          <w:tcPr>
            <w:tcW w:w="6817" w:type="dxa"/>
            <w:tcBorders>
              <w:top w:val="nil"/>
              <w:left w:val="nil"/>
              <w:bottom w:val="single" w:sz="4" w:space="0" w:color="auto"/>
              <w:right w:val="single" w:sz="4" w:space="0" w:color="auto"/>
            </w:tcBorders>
            <w:shd w:val="clear" w:color="auto" w:fill="auto"/>
            <w:noWrap/>
            <w:vAlign w:val="bottom"/>
            <w:hideMark/>
          </w:tcPr>
          <w:p w14:paraId="4083D6B3" w14:textId="77777777" w:rsidR="00866495" w:rsidRPr="00695835" w:rsidRDefault="00866495" w:rsidP="0070500D">
            <w:pPr>
              <w:rPr>
                <w:rFonts w:cs="Arial"/>
                <w:b/>
                <w:bCs/>
                <w:sz w:val="19"/>
                <w:szCs w:val="19"/>
              </w:rPr>
            </w:pPr>
            <w:r w:rsidRPr="00695835">
              <w:rPr>
                <w:rFonts w:cs="Arial"/>
                <w:b/>
                <w:bCs/>
                <w:sz w:val="19"/>
                <w:szCs w:val="19"/>
              </w:rPr>
              <w:t>Total Council Tax Requirement</w:t>
            </w:r>
          </w:p>
        </w:tc>
        <w:tc>
          <w:tcPr>
            <w:tcW w:w="1469" w:type="dxa"/>
            <w:tcBorders>
              <w:top w:val="nil"/>
              <w:left w:val="nil"/>
              <w:bottom w:val="single" w:sz="4" w:space="0" w:color="auto"/>
              <w:right w:val="single" w:sz="4" w:space="0" w:color="auto"/>
            </w:tcBorders>
            <w:shd w:val="clear" w:color="auto" w:fill="auto"/>
            <w:noWrap/>
            <w:vAlign w:val="bottom"/>
            <w:hideMark/>
          </w:tcPr>
          <w:p w14:paraId="1CD059B6" w14:textId="77777777" w:rsidR="00866495" w:rsidRPr="00695835" w:rsidRDefault="00866495" w:rsidP="0070500D">
            <w:pPr>
              <w:jc w:val="right"/>
              <w:rPr>
                <w:rFonts w:cs="Arial"/>
                <w:b/>
                <w:bCs/>
                <w:sz w:val="19"/>
                <w:szCs w:val="19"/>
              </w:rPr>
            </w:pPr>
            <w:r w:rsidRPr="00695835">
              <w:rPr>
                <w:rFonts w:cs="Arial"/>
                <w:b/>
                <w:bCs/>
                <w:sz w:val="19"/>
                <w:szCs w:val="19"/>
              </w:rPr>
              <w:t>280,818</w:t>
            </w:r>
          </w:p>
        </w:tc>
        <w:tc>
          <w:tcPr>
            <w:tcW w:w="1398" w:type="dxa"/>
            <w:tcBorders>
              <w:top w:val="nil"/>
              <w:left w:val="nil"/>
              <w:bottom w:val="single" w:sz="4" w:space="0" w:color="auto"/>
              <w:right w:val="single" w:sz="4" w:space="0" w:color="auto"/>
            </w:tcBorders>
            <w:shd w:val="clear" w:color="auto" w:fill="auto"/>
            <w:noWrap/>
            <w:vAlign w:val="bottom"/>
            <w:hideMark/>
          </w:tcPr>
          <w:p w14:paraId="000E55F1" w14:textId="77777777" w:rsidR="00866495" w:rsidRPr="00695835" w:rsidRDefault="00866495" w:rsidP="0070500D">
            <w:pPr>
              <w:jc w:val="right"/>
              <w:rPr>
                <w:rFonts w:cs="Arial"/>
                <w:b/>
                <w:bCs/>
                <w:sz w:val="19"/>
                <w:szCs w:val="19"/>
              </w:rPr>
            </w:pPr>
            <w:r w:rsidRPr="00695835">
              <w:rPr>
                <w:rFonts w:cs="Arial"/>
                <w:b/>
                <w:bCs/>
                <w:sz w:val="19"/>
                <w:szCs w:val="19"/>
              </w:rPr>
              <w:t>2,042.46</w:t>
            </w:r>
          </w:p>
        </w:tc>
      </w:tr>
    </w:tbl>
    <w:p w14:paraId="43730381" w14:textId="77777777" w:rsidR="00866495" w:rsidRDefault="00866495" w:rsidP="00866495"/>
    <w:p w14:paraId="2E5A4614" w14:textId="77777777" w:rsidR="00866495" w:rsidRDefault="00866495" w:rsidP="00866495"/>
    <w:p w14:paraId="583F3B6A" w14:textId="77777777" w:rsidR="00866495" w:rsidRPr="00A221D6" w:rsidRDefault="00866495" w:rsidP="00866495">
      <w:pPr>
        <w:pStyle w:val="Heading1"/>
        <w:spacing w:before="100" w:beforeAutospacing="1"/>
        <w:ind w:left="142"/>
        <w:rPr>
          <w:sz w:val="28"/>
        </w:rPr>
      </w:pPr>
      <w:bookmarkStart w:id="2" w:name="_Toc444695163"/>
      <w:r w:rsidRPr="00A221D6">
        <w:rPr>
          <w:sz w:val="28"/>
        </w:rPr>
        <w:t>How the Council services are funded</w:t>
      </w:r>
      <w:bookmarkEnd w:id="2"/>
    </w:p>
    <w:p w14:paraId="0CD73CA9" w14:textId="77777777" w:rsidR="00866495" w:rsidRPr="00A221D6" w:rsidRDefault="00866495" w:rsidP="00866495">
      <w:pPr>
        <w:ind w:left="142"/>
        <w:rPr>
          <w:rFonts w:cs="Arial"/>
          <w:sz w:val="20"/>
          <w:szCs w:val="20"/>
        </w:rPr>
      </w:pPr>
    </w:p>
    <w:p w14:paraId="383EC921" w14:textId="77777777" w:rsidR="00866495" w:rsidRPr="00A221D6" w:rsidRDefault="00866495" w:rsidP="00866495">
      <w:pPr>
        <w:ind w:left="142"/>
        <w:rPr>
          <w:rFonts w:cs="Arial"/>
        </w:rPr>
      </w:pPr>
      <w:r w:rsidRPr="00A221D6">
        <w:rPr>
          <w:rFonts w:cs="Arial"/>
        </w:rPr>
        <w:t>The following table outlines how the Council services are funded for 202</w:t>
      </w:r>
      <w:r>
        <w:rPr>
          <w:rFonts w:cs="Arial"/>
        </w:rPr>
        <w:t>5/</w:t>
      </w:r>
      <w:r w:rsidRPr="00A221D6">
        <w:rPr>
          <w:rFonts w:cs="Arial"/>
        </w:rPr>
        <w:t>2</w:t>
      </w:r>
      <w:r>
        <w:rPr>
          <w:rFonts w:cs="Arial"/>
        </w:rPr>
        <w:t>6</w:t>
      </w:r>
      <w:r w:rsidRPr="00A221D6">
        <w:rPr>
          <w:rFonts w:cs="Arial"/>
        </w:rPr>
        <w:t xml:space="preserve">: </w:t>
      </w:r>
    </w:p>
    <w:p w14:paraId="5BB6D77F" w14:textId="77777777" w:rsidR="00866495" w:rsidRDefault="00866495" w:rsidP="00866495">
      <w:pPr>
        <w:ind w:left="142"/>
        <w:rPr>
          <w:highlight w:val="yellow"/>
        </w:rPr>
      </w:pPr>
    </w:p>
    <w:tbl>
      <w:tblPr>
        <w:tblW w:w="6832" w:type="dxa"/>
        <w:tblLook w:val="04A0" w:firstRow="1" w:lastRow="0" w:firstColumn="1" w:lastColumn="0" w:noHBand="0" w:noVBand="1"/>
      </w:tblPr>
      <w:tblGrid>
        <w:gridCol w:w="4888"/>
        <w:gridCol w:w="976"/>
        <w:gridCol w:w="968"/>
      </w:tblGrid>
      <w:tr w:rsidR="00866495" w:rsidRPr="00695835" w14:paraId="4104F79E" w14:textId="77777777" w:rsidTr="0070500D">
        <w:trPr>
          <w:trHeight w:val="540"/>
        </w:trPr>
        <w:tc>
          <w:tcPr>
            <w:tcW w:w="4888" w:type="dxa"/>
            <w:tcBorders>
              <w:top w:val="single" w:sz="4" w:space="0" w:color="auto"/>
              <w:left w:val="single" w:sz="4" w:space="0" w:color="auto"/>
              <w:bottom w:val="nil"/>
              <w:right w:val="nil"/>
            </w:tcBorders>
            <w:shd w:val="clear" w:color="000000" w:fill="E7E6E6"/>
            <w:noWrap/>
            <w:vAlign w:val="bottom"/>
            <w:hideMark/>
          </w:tcPr>
          <w:p w14:paraId="1075FB2E" w14:textId="77777777" w:rsidR="00866495" w:rsidRPr="00695835" w:rsidRDefault="00866495" w:rsidP="0070500D">
            <w:pPr>
              <w:rPr>
                <w:rFonts w:cs="Arial"/>
                <w:b/>
                <w:bCs/>
                <w:color w:val="000000"/>
                <w:sz w:val="20"/>
                <w:szCs w:val="20"/>
              </w:rPr>
            </w:pPr>
            <w:r w:rsidRPr="00695835">
              <w:rPr>
                <w:rFonts w:cs="Arial"/>
                <w:b/>
                <w:bCs/>
                <w:color w:val="000000"/>
                <w:sz w:val="20"/>
                <w:szCs w:val="20"/>
              </w:rPr>
              <w:t>Funding of the Council's Services</w:t>
            </w:r>
            <w:r w:rsidRPr="00695835">
              <w:rPr>
                <w:rFonts w:cs="Arial"/>
                <w:b/>
                <w:bCs/>
                <w:color w:val="000000"/>
                <w:sz w:val="20"/>
                <w:szCs w:val="20"/>
              </w:rPr>
              <w:br/>
              <w:t>(Draft Budget)</w:t>
            </w:r>
          </w:p>
        </w:tc>
        <w:tc>
          <w:tcPr>
            <w:tcW w:w="976" w:type="dxa"/>
            <w:tcBorders>
              <w:top w:val="single" w:sz="4" w:space="0" w:color="auto"/>
              <w:left w:val="nil"/>
              <w:bottom w:val="nil"/>
              <w:right w:val="nil"/>
            </w:tcBorders>
            <w:shd w:val="clear" w:color="000000" w:fill="E7E6E6"/>
            <w:noWrap/>
            <w:vAlign w:val="bottom"/>
            <w:hideMark/>
          </w:tcPr>
          <w:p w14:paraId="1931D799" w14:textId="77777777" w:rsidR="00866495" w:rsidRPr="00695835" w:rsidRDefault="00866495" w:rsidP="0070500D">
            <w:pPr>
              <w:rPr>
                <w:rFonts w:cs="Arial"/>
                <w:b/>
                <w:bCs/>
                <w:color w:val="000000"/>
                <w:sz w:val="20"/>
                <w:szCs w:val="20"/>
              </w:rPr>
            </w:pPr>
            <w:r w:rsidRPr="00695835">
              <w:rPr>
                <w:rFonts w:cs="Arial"/>
                <w:b/>
                <w:bCs/>
                <w:color w:val="000000"/>
                <w:sz w:val="20"/>
                <w:szCs w:val="20"/>
              </w:rPr>
              <w:t>2025/26</w:t>
            </w:r>
          </w:p>
        </w:tc>
        <w:tc>
          <w:tcPr>
            <w:tcW w:w="968" w:type="dxa"/>
            <w:tcBorders>
              <w:top w:val="single" w:sz="4" w:space="0" w:color="auto"/>
              <w:left w:val="nil"/>
              <w:bottom w:val="nil"/>
              <w:right w:val="single" w:sz="4" w:space="0" w:color="auto"/>
            </w:tcBorders>
            <w:shd w:val="clear" w:color="000000" w:fill="E7E6E6"/>
            <w:noWrap/>
            <w:vAlign w:val="bottom"/>
            <w:hideMark/>
          </w:tcPr>
          <w:p w14:paraId="2828D1CA" w14:textId="77777777" w:rsidR="00866495" w:rsidRPr="00695835" w:rsidRDefault="00866495" w:rsidP="0070500D">
            <w:pPr>
              <w:rPr>
                <w:rFonts w:ascii="Calibri" w:hAnsi="Calibri" w:cs="Calibri"/>
                <w:color w:val="000000"/>
                <w:sz w:val="22"/>
                <w:szCs w:val="22"/>
              </w:rPr>
            </w:pPr>
            <w:r w:rsidRPr="00695835">
              <w:rPr>
                <w:rFonts w:ascii="Calibri" w:hAnsi="Calibri" w:cs="Calibri"/>
                <w:color w:val="000000"/>
                <w:sz w:val="22"/>
                <w:szCs w:val="22"/>
              </w:rPr>
              <w:t> </w:t>
            </w:r>
          </w:p>
        </w:tc>
      </w:tr>
      <w:tr w:rsidR="00866495" w:rsidRPr="00695835" w14:paraId="1A3C9D81"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769C3BF1" w14:textId="77777777" w:rsidR="00866495" w:rsidRPr="00695835" w:rsidRDefault="00866495" w:rsidP="0070500D">
            <w:pPr>
              <w:rPr>
                <w:rFonts w:cs="Arial"/>
                <w:color w:val="000000"/>
                <w:sz w:val="20"/>
                <w:szCs w:val="20"/>
              </w:rPr>
            </w:pPr>
            <w:r w:rsidRPr="00695835">
              <w:rPr>
                <w:rFonts w:cs="Arial"/>
                <w:color w:val="000000"/>
                <w:sz w:val="20"/>
                <w:szCs w:val="20"/>
              </w:rPr>
              <w:t>Other - Fees and Charges etc</w:t>
            </w:r>
          </w:p>
        </w:tc>
        <w:tc>
          <w:tcPr>
            <w:tcW w:w="976" w:type="dxa"/>
            <w:tcBorders>
              <w:top w:val="nil"/>
              <w:left w:val="nil"/>
              <w:bottom w:val="nil"/>
              <w:right w:val="nil"/>
            </w:tcBorders>
            <w:shd w:val="clear" w:color="000000" w:fill="E7E6E6"/>
            <w:noWrap/>
            <w:vAlign w:val="bottom"/>
            <w:hideMark/>
          </w:tcPr>
          <w:p w14:paraId="62B47AB2" w14:textId="77777777" w:rsidR="00866495" w:rsidRPr="00695835" w:rsidRDefault="00866495" w:rsidP="0070500D">
            <w:pPr>
              <w:jc w:val="right"/>
              <w:rPr>
                <w:rFonts w:cs="Arial"/>
                <w:color w:val="000000"/>
                <w:sz w:val="20"/>
                <w:szCs w:val="20"/>
              </w:rPr>
            </w:pPr>
            <w:r w:rsidRPr="00695835">
              <w:rPr>
                <w:rFonts w:cs="Arial"/>
                <w:color w:val="000000"/>
                <w:sz w:val="20"/>
                <w:szCs w:val="20"/>
              </w:rPr>
              <w:t>130.3</w:t>
            </w:r>
          </w:p>
        </w:tc>
        <w:tc>
          <w:tcPr>
            <w:tcW w:w="968" w:type="dxa"/>
            <w:tcBorders>
              <w:top w:val="nil"/>
              <w:left w:val="nil"/>
              <w:bottom w:val="nil"/>
              <w:right w:val="single" w:sz="4" w:space="0" w:color="auto"/>
            </w:tcBorders>
            <w:shd w:val="clear" w:color="000000" w:fill="E7E6E6"/>
            <w:noWrap/>
            <w:vAlign w:val="bottom"/>
            <w:hideMark/>
          </w:tcPr>
          <w:p w14:paraId="40D3D91A" w14:textId="77777777" w:rsidR="00866495" w:rsidRPr="00695835" w:rsidRDefault="00866495" w:rsidP="0070500D">
            <w:pPr>
              <w:jc w:val="right"/>
              <w:rPr>
                <w:rFonts w:cs="Arial"/>
                <w:color w:val="000000"/>
                <w:sz w:val="20"/>
                <w:szCs w:val="20"/>
              </w:rPr>
            </w:pPr>
            <w:r w:rsidRPr="00695835">
              <w:rPr>
                <w:rFonts w:cs="Arial"/>
                <w:color w:val="000000"/>
                <w:sz w:val="20"/>
                <w:szCs w:val="20"/>
              </w:rPr>
              <w:t>17.8%</w:t>
            </w:r>
          </w:p>
        </w:tc>
      </w:tr>
      <w:tr w:rsidR="00866495" w:rsidRPr="00695835" w14:paraId="205A37AF"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22731649" w14:textId="77777777" w:rsidR="00866495" w:rsidRPr="00695835" w:rsidRDefault="00866495" w:rsidP="0070500D">
            <w:pPr>
              <w:rPr>
                <w:rFonts w:cs="Arial"/>
                <w:color w:val="000000"/>
                <w:sz w:val="20"/>
                <w:szCs w:val="20"/>
              </w:rPr>
            </w:pPr>
            <w:r w:rsidRPr="00695835">
              <w:rPr>
                <w:rFonts w:cs="Arial"/>
                <w:color w:val="000000"/>
                <w:sz w:val="20"/>
                <w:szCs w:val="20"/>
              </w:rPr>
              <w:t>Dedicated Schools Grant</w:t>
            </w:r>
          </w:p>
        </w:tc>
        <w:tc>
          <w:tcPr>
            <w:tcW w:w="976" w:type="dxa"/>
            <w:tcBorders>
              <w:top w:val="nil"/>
              <w:left w:val="nil"/>
              <w:bottom w:val="nil"/>
              <w:right w:val="nil"/>
            </w:tcBorders>
            <w:shd w:val="clear" w:color="000000" w:fill="E7E6E6"/>
            <w:noWrap/>
            <w:vAlign w:val="bottom"/>
            <w:hideMark/>
          </w:tcPr>
          <w:p w14:paraId="342ABFBE" w14:textId="77777777" w:rsidR="00866495" w:rsidRPr="00695835" w:rsidRDefault="00866495" w:rsidP="0070500D">
            <w:pPr>
              <w:jc w:val="right"/>
              <w:rPr>
                <w:rFonts w:cs="Arial"/>
                <w:color w:val="000000"/>
                <w:sz w:val="20"/>
                <w:szCs w:val="20"/>
              </w:rPr>
            </w:pPr>
            <w:r w:rsidRPr="00695835">
              <w:rPr>
                <w:rFonts w:cs="Arial"/>
                <w:color w:val="000000"/>
                <w:sz w:val="20"/>
                <w:szCs w:val="20"/>
              </w:rPr>
              <w:t>138.8</w:t>
            </w:r>
          </w:p>
        </w:tc>
        <w:tc>
          <w:tcPr>
            <w:tcW w:w="968" w:type="dxa"/>
            <w:tcBorders>
              <w:top w:val="nil"/>
              <w:left w:val="nil"/>
              <w:bottom w:val="nil"/>
              <w:right w:val="single" w:sz="4" w:space="0" w:color="auto"/>
            </w:tcBorders>
            <w:shd w:val="clear" w:color="000000" w:fill="E7E6E6"/>
            <w:noWrap/>
            <w:vAlign w:val="bottom"/>
            <w:hideMark/>
          </w:tcPr>
          <w:p w14:paraId="670AB1F7" w14:textId="77777777" w:rsidR="00866495" w:rsidRPr="00695835" w:rsidRDefault="00866495" w:rsidP="0070500D">
            <w:pPr>
              <w:jc w:val="right"/>
              <w:rPr>
                <w:rFonts w:cs="Arial"/>
                <w:color w:val="000000"/>
                <w:sz w:val="20"/>
                <w:szCs w:val="20"/>
              </w:rPr>
            </w:pPr>
            <w:r w:rsidRPr="00695835">
              <w:rPr>
                <w:rFonts w:cs="Arial"/>
                <w:color w:val="000000"/>
                <w:sz w:val="20"/>
                <w:szCs w:val="20"/>
              </w:rPr>
              <w:t>18.9%</w:t>
            </w:r>
          </w:p>
        </w:tc>
      </w:tr>
      <w:tr w:rsidR="00866495" w:rsidRPr="00695835" w14:paraId="24450778"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4016FE14" w14:textId="77777777" w:rsidR="00866495" w:rsidRPr="00695835" w:rsidRDefault="00866495" w:rsidP="0070500D">
            <w:pPr>
              <w:rPr>
                <w:rFonts w:cs="Arial"/>
                <w:color w:val="000000"/>
                <w:sz w:val="20"/>
                <w:szCs w:val="20"/>
              </w:rPr>
            </w:pPr>
            <w:r w:rsidRPr="00695835">
              <w:rPr>
                <w:rFonts w:cs="Arial"/>
                <w:color w:val="000000"/>
                <w:sz w:val="20"/>
                <w:szCs w:val="20"/>
              </w:rPr>
              <w:t>Council Tax</w:t>
            </w:r>
          </w:p>
        </w:tc>
        <w:tc>
          <w:tcPr>
            <w:tcW w:w="976" w:type="dxa"/>
            <w:tcBorders>
              <w:top w:val="nil"/>
              <w:left w:val="nil"/>
              <w:bottom w:val="nil"/>
              <w:right w:val="nil"/>
            </w:tcBorders>
            <w:shd w:val="clear" w:color="000000" w:fill="E7E6E6"/>
            <w:noWrap/>
            <w:vAlign w:val="bottom"/>
            <w:hideMark/>
          </w:tcPr>
          <w:p w14:paraId="4D1E265F" w14:textId="77777777" w:rsidR="00866495" w:rsidRPr="00695835" w:rsidRDefault="00866495" w:rsidP="0070500D">
            <w:pPr>
              <w:jc w:val="right"/>
              <w:rPr>
                <w:rFonts w:cs="Arial"/>
                <w:color w:val="000000"/>
                <w:sz w:val="20"/>
                <w:szCs w:val="20"/>
              </w:rPr>
            </w:pPr>
            <w:r w:rsidRPr="00695835">
              <w:rPr>
                <w:rFonts w:cs="Arial"/>
                <w:color w:val="000000"/>
                <w:sz w:val="20"/>
                <w:szCs w:val="20"/>
              </w:rPr>
              <w:t>213.4</w:t>
            </w:r>
          </w:p>
        </w:tc>
        <w:tc>
          <w:tcPr>
            <w:tcW w:w="968" w:type="dxa"/>
            <w:tcBorders>
              <w:top w:val="nil"/>
              <w:left w:val="nil"/>
              <w:bottom w:val="nil"/>
              <w:right w:val="single" w:sz="4" w:space="0" w:color="auto"/>
            </w:tcBorders>
            <w:shd w:val="clear" w:color="000000" w:fill="E7E6E6"/>
            <w:noWrap/>
            <w:vAlign w:val="bottom"/>
            <w:hideMark/>
          </w:tcPr>
          <w:p w14:paraId="18B2F3F0" w14:textId="77777777" w:rsidR="00866495" w:rsidRPr="00695835" w:rsidRDefault="00866495" w:rsidP="0070500D">
            <w:pPr>
              <w:jc w:val="right"/>
              <w:rPr>
                <w:rFonts w:cs="Arial"/>
                <w:color w:val="000000"/>
                <w:sz w:val="20"/>
                <w:szCs w:val="20"/>
              </w:rPr>
            </w:pPr>
            <w:r w:rsidRPr="00695835">
              <w:rPr>
                <w:rFonts w:cs="Arial"/>
                <w:color w:val="000000"/>
                <w:sz w:val="20"/>
                <w:szCs w:val="20"/>
              </w:rPr>
              <w:t>29.1%</w:t>
            </w:r>
          </w:p>
        </w:tc>
      </w:tr>
      <w:tr w:rsidR="00866495" w:rsidRPr="00695835" w14:paraId="7CEDD0DC"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073C52CD" w14:textId="77777777" w:rsidR="00866495" w:rsidRPr="00695835" w:rsidRDefault="00866495" w:rsidP="0070500D">
            <w:pPr>
              <w:rPr>
                <w:rFonts w:cs="Arial"/>
                <w:color w:val="000000"/>
                <w:sz w:val="20"/>
                <w:szCs w:val="20"/>
              </w:rPr>
            </w:pPr>
            <w:r w:rsidRPr="00695835">
              <w:rPr>
                <w:rFonts w:cs="Arial"/>
                <w:color w:val="000000"/>
                <w:sz w:val="20"/>
                <w:szCs w:val="20"/>
              </w:rPr>
              <w:t>Business Rates Retention</w:t>
            </w:r>
          </w:p>
        </w:tc>
        <w:tc>
          <w:tcPr>
            <w:tcW w:w="976" w:type="dxa"/>
            <w:tcBorders>
              <w:top w:val="nil"/>
              <w:left w:val="nil"/>
              <w:bottom w:val="nil"/>
              <w:right w:val="nil"/>
            </w:tcBorders>
            <w:shd w:val="clear" w:color="000000" w:fill="E7E6E6"/>
            <w:noWrap/>
            <w:vAlign w:val="bottom"/>
            <w:hideMark/>
          </w:tcPr>
          <w:p w14:paraId="30412B89" w14:textId="77777777" w:rsidR="00866495" w:rsidRPr="00695835" w:rsidRDefault="00866495" w:rsidP="0070500D">
            <w:pPr>
              <w:jc w:val="right"/>
              <w:rPr>
                <w:rFonts w:cs="Arial"/>
                <w:color w:val="000000"/>
                <w:sz w:val="20"/>
                <w:szCs w:val="20"/>
              </w:rPr>
            </w:pPr>
            <w:r w:rsidRPr="00695835">
              <w:rPr>
                <w:rFonts w:cs="Arial"/>
                <w:color w:val="000000"/>
                <w:sz w:val="20"/>
                <w:szCs w:val="20"/>
              </w:rPr>
              <w:t>51.0</w:t>
            </w:r>
          </w:p>
        </w:tc>
        <w:tc>
          <w:tcPr>
            <w:tcW w:w="968" w:type="dxa"/>
            <w:tcBorders>
              <w:top w:val="nil"/>
              <w:left w:val="nil"/>
              <w:bottom w:val="nil"/>
              <w:right w:val="single" w:sz="4" w:space="0" w:color="auto"/>
            </w:tcBorders>
            <w:shd w:val="clear" w:color="000000" w:fill="E7E6E6"/>
            <w:noWrap/>
            <w:vAlign w:val="bottom"/>
            <w:hideMark/>
          </w:tcPr>
          <w:p w14:paraId="4F2FEEED" w14:textId="77777777" w:rsidR="00866495" w:rsidRPr="00695835" w:rsidRDefault="00866495" w:rsidP="0070500D">
            <w:pPr>
              <w:jc w:val="right"/>
              <w:rPr>
                <w:rFonts w:cs="Arial"/>
                <w:color w:val="000000"/>
                <w:sz w:val="20"/>
                <w:szCs w:val="20"/>
              </w:rPr>
            </w:pPr>
            <w:r w:rsidRPr="00695835">
              <w:rPr>
                <w:rFonts w:cs="Arial"/>
                <w:color w:val="000000"/>
                <w:sz w:val="20"/>
                <w:szCs w:val="20"/>
              </w:rPr>
              <w:t>6.9%</w:t>
            </w:r>
          </w:p>
        </w:tc>
      </w:tr>
      <w:tr w:rsidR="00866495" w:rsidRPr="00695835" w14:paraId="2347D166"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4A729529" w14:textId="77777777" w:rsidR="00866495" w:rsidRPr="00695835" w:rsidRDefault="00866495" w:rsidP="0070500D">
            <w:pPr>
              <w:rPr>
                <w:rFonts w:cs="Arial"/>
                <w:color w:val="000000"/>
                <w:sz w:val="20"/>
                <w:szCs w:val="20"/>
              </w:rPr>
            </w:pPr>
            <w:r w:rsidRPr="00695835">
              <w:rPr>
                <w:rFonts w:cs="Arial"/>
                <w:color w:val="000000"/>
                <w:sz w:val="20"/>
                <w:szCs w:val="20"/>
              </w:rPr>
              <w:t>Specific Grants</w:t>
            </w:r>
          </w:p>
        </w:tc>
        <w:tc>
          <w:tcPr>
            <w:tcW w:w="976" w:type="dxa"/>
            <w:tcBorders>
              <w:top w:val="nil"/>
              <w:left w:val="nil"/>
              <w:bottom w:val="nil"/>
              <w:right w:val="nil"/>
            </w:tcBorders>
            <w:shd w:val="clear" w:color="000000" w:fill="E7E6E6"/>
            <w:noWrap/>
            <w:vAlign w:val="bottom"/>
            <w:hideMark/>
          </w:tcPr>
          <w:p w14:paraId="28D12EDF" w14:textId="77777777" w:rsidR="00866495" w:rsidRPr="00695835" w:rsidRDefault="00866495" w:rsidP="0070500D">
            <w:pPr>
              <w:jc w:val="right"/>
              <w:rPr>
                <w:rFonts w:cs="Arial"/>
                <w:color w:val="000000"/>
                <w:sz w:val="20"/>
                <w:szCs w:val="20"/>
              </w:rPr>
            </w:pPr>
            <w:r w:rsidRPr="00695835">
              <w:rPr>
                <w:rFonts w:cs="Arial"/>
                <w:color w:val="000000"/>
                <w:sz w:val="20"/>
                <w:szCs w:val="20"/>
              </w:rPr>
              <w:t>200.1</w:t>
            </w:r>
          </w:p>
        </w:tc>
        <w:tc>
          <w:tcPr>
            <w:tcW w:w="968" w:type="dxa"/>
            <w:tcBorders>
              <w:top w:val="nil"/>
              <w:left w:val="nil"/>
              <w:bottom w:val="nil"/>
              <w:right w:val="single" w:sz="4" w:space="0" w:color="auto"/>
            </w:tcBorders>
            <w:shd w:val="clear" w:color="000000" w:fill="E7E6E6"/>
            <w:noWrap/>
            <w:vAlign w:val="bottom"/>
            <w:hideMark/>
          </w:tcPr>
          <w:p w14:paraId="7BFFE6D7" w14:textId="77777777" w:rsidR="00866495" w:rsidRPr="00695835" w:rsidRDefault="00866495" w:rsidP="0070500D">
            <w:pPr>
              <w:jc w:val="right"/>
              <w:rPr>
                <w:rFonts w:cs="Arial"/>
                <w:color w:val="000000"/>
                <w:sz w:val="20"/>
                <w:szCs w:val="20"/>
              </w:rPr>
            </w:pPr>
            <w:r w:rsidRPr="00695835">
              <w:rPr>
                <w:rFonts w:cs="Arial"/>
                <w:color w:val="000000"/>
                <w:sz w:val="20"/>
                <w:szCs w:val="20"/>
              </w:rPr>
              <w:t>27.3%</w:t>
            </w:r>
          </w:p>
        </w:tc>
      </w:tr>
      <w:tr w:rsidR="00866495" w:rsidRPr="00695835" w14:paraId="005FD103" w14:textId="77777777" w:rsidTr="0070500D">
        <w:trPr>
          <w:trHeight w:val="288"/>
        </w:trPr>
        <w:tc>
          <w:tcPr>
            <w:tcW w:w="4888" w:type="dxa"/>
            <w:tcBorders>
              <w:top w:val="nil"/>
              <w:left w:val="single" w:sz="4" w:space="0" w:color="auto"/>
              <w:bottom w:val="single" w:sz="4" w:space="0" w:color="auto"/>
              <w:right w:val="nil"/>
            </w:tcBorders>
            <w:shd w:val="clear" w:color="000000" w:fill="E7E6E6"/>
            <w:noWrap/>
            <w:vAlign w:val="bottom"/>
            <w:hideMark/>
          </w:tcPr>
          <w:p w14:paraId="1539034F" w14:textId="77777777" w:rsidR="00866495" w:rsidRPr="00695835" w:rsidRDefault="00866495" w:rsidP="0070500D">
            <w:pPr>
              <w:rPr>
                <w:rFonts w:cs="Arial"/>
                <w:b/>
                <w:bCs/>
                <w:color w:val="000000"/>
                <w:sz w:val="20"/>
                <w:szCs w:val="20"/>
              </w:rPr>
            </w:pPr>
            <w:r w:rsidRPr="00695835">
              <w:rPr>
                <w:rFonts w:cs="Arial"/>
                <w:b/>
                <w:bCs/>
                <w:color w:val="000000"/>
                <w:sz w:val="20"/>
                <w:szCs w:val="20"/>
              </w:rPr>
              <w:t>Total</w:t>
            </w:r>
          </w:p>
        </w:tc>
        <w:tc>
          <w:tcPr>
            <w:tcW w:w="976" w:type="dxa"/>
            <w:tcBorders>
              <w:top w:val="nil"/>
              <w:left w:val="nil"/>
              <w:bottom w:val="single" w:sz="4" w:space="0" w:color="auto"/>
              <w:right w:val="nil"/>
            </w:tcBorders>
            <w:shd w:val="clear" w:color="000000" w:fill="E7E6E6"/>
            <w:noWrap/>
            <w:vAlign w:val="bottom"/>
            <w:hideMark/>
          </w:tcPr>
          <w:p w14:paraId="4740AB97" w14:textId="77777777" w:rsidR="00866495" w:rsidRPr="00695835" w:rsidRDefault="00866495" w:rsidP="0070500D">
            <w:pPr>
              <w:jc w:val="right"/>
              <w:rPr>
                <w:rFonts w:cs="Arial"/>
                <w:b/>
                <w:bCs/>
                <w:color w:val="000000"/>
                <w:sz w:val="20"/>
                <w:szCs w:val="20"/>
              </w:rPr>
            </w:pPr>
            <w:r w:rsidRPr="00695835">
              <w:rPr>
                <w:rFonts w:cs="Arial"/>
                <w:b/>
                <w:bCs/>
                <w:color w:val="000000"/>
                <w:sz w:val="20"/>
                <w:szCs w:val="20"/>
              </w:rPr>
              <w:t>733.6</w:t>
            </w:r>
          </w:p>
        </w:tc>
        <w:tc>
          <w:tcPr>
            <w:tcW w:w="968" w:type="dxa"/>
            <w:tcBorders>
              <w:top w:val="nil"/>
              <w:left w:val="nil"/>
              <w:bottom w:val="single" w:sz="4" w:space="0" w:color="auto"/>
              <w:right w:val="single" w:sz="4" w:space="0" w:color="auto"/>
            </w:tcBorders>
            <w:shd w:val="clear" w:color="000000" w:fill="E7E6E6"/>
            <w:noWrap/>
            <w:vAlign w:val="bottom"/>
            <w:hideMark/>
          </w:tcPr>
          <w:p w14:paraId="17039B0C" w14:textId="77777777" w:rsidR="00866495" w:rsidRPr="00695835" w:rsidRDefault="00866495" w:rsidP="0070500D">
            <w:pPr>
              <w:jc w:val="right"/>
              <w:rPr>
                <w:rFonts w:ascii="Calibri" w:hAnsi="Calibri" w:cs="Calibri"/>
                <w:color w:val="000000"/>
                <w:sz w:val="22"/>
                <w:szCs w:val="22"/>
              </w:rPr>
            </w:pPr>
            <w:r w:rsidRPr="00695835">
              <w:rPr>
                <w:rFonts w:ascii="Calibri" w:hAnsi="Calibri" w:cs="Calibri"/>
                <w:color w:val="000000"/>
                <w:sz w:val="22"/>
                <w:szCs w:val="22"/>
              </w:rPr>
              <w:t>100.0%</w:t>
            </w:r>
          </w:p>
        </w:tc>
      </w:tr>
    </w:tbl>
    <w:p w14:paraId="76E215A9" w14:textId="77777777" w:rsidR="00866495" w:rsidRDefault="00866495" w:rsidP="00866495">
      <w:pPr>
        <w:ind w:left="142"/>
        <w:rPr>
          <w:highlight w:val="yellow"/>
        </w:rPr>
      </w:pPr>
    </w:p>
    <w:tbl>
      <w:tblPr>
        <w:tblW w:w="6832" w:type="dxa"/>
        <w:tblLook w:val="04A0" w:firstRow="1" w:lastRow="0" w:firstColumn="1" w:lastColumn="0" w:noHBand="0" w:noVBand="1"/>
      </w:tblPr>
      <w:tblGrid>
        <w:gridCol w:w="4888"/>
        <w:gridCol w:w="976"/>
        <w:gridCol w:w="968"/>
      </w:tblGrid>
      <w:tr w:rsidR="00866495" w:rsidRPr="00695835" w14:paraId="65CC986A" w14:textId="77777777" w:rsidTr="0070500D">
        <w:trPr>
          <w:trHeight w:val="288"/>
        </w:trPr>
        <w:tc>
          <w:tcPr>
            <w:tcW w:w="4888" w:type="dxa"/>
            <w:tcBorders>
              <w:top w:val="single" w:sz="4" w:space="0" w:color="auto"/>
              <w:left w:val="single" w:sz="4" w:space="0" w:color="auto"/>
              <w:bottom w:val="nil"/>
              <w:right w:val="nil"/>
            </w:tcBorders>
            <w:shd w:val="clear" w:color="000000" w:fill="E7E6E6"/>
            <w:noWrap/>
            <w:vAlign w:val="bottom"/>
            <w:hideMark/>
          </w:tcPr>
          <w:p w14:paraId="5A65EFBA" w14:textId="77777777" w:rsidR="00866495" w:rsidRPr="00695835" w:rsidRDefault="00866495" w:rsidP="0070500D">
            <w:pPr>
              <w:rPr>
                <w:rFonts w:cs="Arial"/>
                <w:b/>
                <w:bCs/>
                <w:color w:val="000000"/>
                <w:sz w:val="20"/>
                <w:szCs w:val="20"/>
              </w:rPr>
            </w:pPr>
            <w:r w:rsidRPr="00695835">
              <w:rPr>
                <w:rFonts w:cs="Arial"/>
                <w:b/>
                <w:bCs/>
                <w:color w:val="000000"/>
                <w:sz w:val="20"/>
                <w:szCs w:val="20"/>
              </w:rPr>
              <w:t>Where the Money Goes (Draft Budget)</w:t>
            </w:r>
          </w:p>
        </w:tc>
        <w:tc>
          <w:tcPr>
            <w:tcW w:w="976" w:type="dxa"/>
            <w:tcBorders>
              <w:top w:val="single" w:sz="4" w:space="0" w:color="auto"/>
              <w:left w:val="nil"/>
              <w:bottom w:val="nil"/>
              <w:right w:val="nil"/>
            </w:tcBorders>
            <w:shd w:val="clear" w:color="000000" w:fill="E7E6E6"/>
            <w:noWrap/>
            <w:vAlign w:val="bottom"/>
            <w:hideMark/>
          </w:tcPr>
          <w:p w14:paraId="13AA9A0D" w14:textId="77777777" w:rsidR="00866495" w:rsidRPr="00695835" w:rsidRDefault="00866495" w:rsidP="0070500D">
            <w:pPr>
              <w:rPr>
                <w:rFonts w:cs="Arial"/>
                <w:b/>
                <w:bCs/>
                <w:color w:val="000000"/>
                <w:sz w:val="20"/>
                <w:szCs w:val="20"/>
              </w:rPr>
            </w:pPr>
            <w:r w:rsidRPr="00695835">
              <w:rPr>
                <w:rFonts w:cs="Arial"/>
                <w:b/>
                <w:bCs/>
                <w:color w:val="000000"/>
                <w:sz w:val="20"/>
                <w:szCs w:val="20"/>
              </w:rPr>
              <w:t>2025/26</w:t>
            </w:r>
          </w:p>
        </w:tc>
        <w:tc>
          <w:tcPr>
            <w:tcW w:w="968" w:type="dxa"/>
            <w:tcBorders>
              <w:top w:val="single" w:sz="4" w:space="0" w:color="auto"/>
              <w:left w:val="nil"/>
              <w:bottom w:val="nil"/>
              <w:right w:val="single" w:sz="4" w:space="0" w:color="auto"/>
            </w:tcBorders>
            <w:shd w:val="clear" w:color="000000" w:fill="E7E6E6"/>
            <w:noWrap/>
            <w:vAlign w:val="bottom"/>
            <w:hideMark/>
          </w:tcPr>
          <w:p w14:paraId="12E49248" w14:textId="77777777" w:rsidR="00866495" w:rsidRPr="00695835" w:rsidRDefault="00866495" w:rsidP="0070500D">
            <w:pPr>
              <w:rPr>
                <w:rFonts w:ascii="Calibri" w:hAnsi="Calibri" w:cs="Calibri"/>
                <w:color w:val="000000"/>
                <w:sz w:val="22"/>
                <w:szCs w:val="22"/>
              </w:rPr>
            </w:pPr>
            <w:r w:rsidRPr="00695835">
              <w:rPr>
                <w:rFonts w:ascii="Calibri" w:hAnsi="Calibri" w:cs="Calibri"/>
                <w:color w:val="000000"/>
                <w:sz w:val="22"/>
                <w:szCs w:val="22"/>
              </w:rPr>
              <w:t> </w:t>
            </w:r>
          </w:p>
        </w:tc>
      </w:tr>
      <w:tr w:rsidR="00866495" w:rsidRPr="00695835" w14:paraId="48E08A7B"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7500068D" w14:textId="77777777" w:rsidR="00866495" w:rsidRPr="00695835" w:rsidRDefault="00866495" w:rsidP="0070500D">
            <w:pPr>
              <w:rPr>
                <w:rFonts w:cs="Arial"/>
                <w:color w:val="000000"/>
                <w:sz w:val="20"/>
                <w:szCs w:val="20"/>
              </w:rPr>
            </w:pPr>
            <w:r w:rsidRPr="00695835">
              <w:rPr>
                <w:rFonts w:cs="Arial"/>
                <w:color w:val="000000"/>
                <w:sz w:val="20"/>
                <w:szCs w:val="20"/>
              </w:rPr>
              <w:t>Adult Care &amp; Health</w:t>
            </w:r>
          </w:p>
        </w:tc>
        <w:tc>
          <w:tcPr>
            <w:tcW w:w="976" w:type="dxa"/>
            <w:tcBorders>
              <w:top w:val="nil"/>
              <w:left w:val="nil"/>
              <w:bottom w:val="nil"/>
              <w:right w:val="nil"/>
            </w:tcBorders>
            <w:shd w:val="clear" w:color="000000" w:fill="E7E6E6"/>
            <w:noWrap/>
            <w:vAlign w:val="bottom"/>
            <w:hideMark/>
          </w:tcPr>
          <w:p w14:paraId="1D084C95" w14:textId="77777777" w:rsidR="00866495" w:rsidRPr="00695835" w:rsidRDefault="00866495" w:rsidP="0070500D">
            <w:pPr>
              <w:jc w:val="right"/>
              <w:rPr>
                <w:rFonts w:cs="Arial"/>
                <w:color w:val="000000"/>
                <w:sz w:val="20"/>
                <w:szCs w:val="20"/>
              </w:rPr>
            </w:pPr>
            <w:r w:rsidRPr="00695835">
              <w:rPr>
                <w:rFonts w:cs="Arial"/>
                <w:color w:val="000000"/>
                <w:sz w:val="20"/>
                <w:szCs w:val="20"/>
              </w:rPr>
              <w:t>197.4</w:t>
            </w:r>
          </w:p>
        </w:tc>
        <w:tc>
          <w:tcPr>
            <w:tcW w:w="968" w:type="dxa"/>
            <w:tcBorders>
              <w:top w:val="nil"/>
              <w:left w:val="nil"/>
              <w:bottom w:val="nil"/>
              <w:right w:val="single" w:sz="4" w:space="0" w:color="auto"/>
            </w:tcBorders>
            <w:shd w:val="clear" w:color="000000" w:fill="E7E6E6"/>
            <w:noWrap/>
            <w:vAlign w:val="bottom"/>
            <w:hideMark/>
          </w:tcPr>
          <w:p w14:paraId="626E9F42" w14:textId="77777777" w:rsidR="00866495" w:rsidRPr="00695835" w:rsidRDefault="00866495" w:rsidP="0070500D">
            <w:pPr>
              <w:jc w:val="right"/>
              <w:rPr>
                <w:rFonts w:cs="Arial"/>
                <w:color w:val="000000"/>
                <w:sz w:val="20"/>
                <w:szCs w:val="20"/>
              </w:rPr>
            </w:pPr>
            <w:r w:rsidRPr="00695835">
              <w:rPr>
                <w:rFonts w:cs="Arial"/>
                <w:color w:val="000000"/>
                <w:sz w:val="20"/>
                <w:szCs w:val="20"/>
              </w:rPr>
              <w:t>26.9%</w:t>
            </w:r>
          </w:p>
        </w:tc>
      </w:tr>
      <w:tr w:rsidR="00866495" w:rsidRPr="00695835" w14:paraId="651E16ED"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692D72EA" w14:textId="77777777" w:rsidR="00866495" w:rsidRPr="00695835" w:rsidRDefault="00866495" w:rsidP="0070500D">
            <w:pPr>
              <w:rPr>
                <w:rFonts w:cs="Arial"/>
                <w:color w:val="000000"/>
                <w:sz w:val="20"/>
                <w:szCs w:val="20"/>
              </w:rPr>
            </w:pPr>
            <w:r w:rsidRPr="00695835">
              <w:rPr>
                <w:rFonts w:cs="Arial"/>
                <w:color w:val="000000"/>
                <w:sz w:val="20"/>
                <w:szCs w:val="20"/>
              </w:rPr>
              <w:t>Children, Education and Families</w:t>
            </w:r>
          </w:p>
        </w:tc>
        <w:tc>
          <w:tcPr>
            <w:tcW w:w="976" w:type="dxa"/>
            <w:tcBorders>
              <w:top w:val="nil"/>
              <w:left w:val="nil"/>
              <w:bottom w:val="nil"/>
              <w:right w:val="nil"/>
            </w:tcBorders>
            <w:shd w:val="clear" w:color="000000" w:fill="E7E6E6"/>
            <w:noWrap/>
            <w:vAlign w:val="bottom"/>
            <w:hideMark/>
          </w:tcPr>
          <w:p w14:paraId="0F9E59DF" w14:textId="77777777" w:rsidR="00866495" w:rsidRPr="00695835" w:rsidRDefault="00866495" w:rsidP="0070500D">
            <w:pPr>
              <w:jc w:val="right"/>
              <w:rPr>
                <w:rFonts w:cs="Arial"/>
                <w:color w:val="000000"/>
                <w:sz w:val="20"/>
                <w:szCs w:val="20"/>
              </w:rPr>
            </w:pPr>
            <w:r w:rsidRPr="00695835">
              <w:rPr>
                <w:rFonts w:cs="Arial"/>
                <w:color w:val="000000"/>
                <w:sz w:val="20"/>
                <w:szCs w:val="20"/>
              </w:rPr>
              <w:t>261.9</w:t>
            </w:r>
          </w:p>
        </w:tc>
        <w:tc>
          <w:tcPr>
            <w:tcW w:w="968" w:type="dxa"/>
            <w:tcBorders>
              <w:top w:val="nil"/>
              <w:left w:val="nil"/>
              <w:bottom w:val="nil"/>
              <w:right w:val="single" w:sz="4" w:space="0" w:color="auto"/>
            </w:tcBorders>
            <w:shd w:val="clear" w:color="000000" w:fill="E7E6E6"/>
            <w:noWrap/>
            <w:vAlign w:val="bottom"/>
            <w:hideMark/>
          </w:tcPr>
          <w:p w14:paraId="48EA71D7" w14:textId="77777777" w:rsidR="00866495" w:rsidRPr="00695835" w:rsidRDefault="00866495" w:rsidP="0070500D">
            <w:pPr>
              <w:jc w:val="right"/>
              <w:rPr>
                <w:rFonts w:cs="Arial"/>
                <w:color w:val="000000"/>
                <w:sz w:val="20"/>
                <w:szCs w:val="20"/>
              </w:rPr>
            </w:pPr>
            <w:r w:rsidRPr="00695835">
              <w:rPr>
                <w:rFonts w:cs="Arial"/>
                <w:color w:val="000000"/>
                <w:sz w:val="20"/>
                <w:szCs w:val="20"/>
              </w:rPr>
              <w:t>35.7%</w:t>
            </w:r>
          </w:p>
        </w:tc>
      </w:tr>
      <w:tr w:rsidR="00866495" w:rsidRPr="00695835" w14:paraId="0E64EBCA"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4E62696C" w14:textId="77777777" w:rsidR="00866495" w:rsidRPr="00695835" w:rsidRDefault="00866495" w:rsidP="0070500D">
            <w:pPr>
              <w:rPr>
                <w:rFonts w:cs="Arial"/>
                <w:color w:val="000000"/>
                <w:sz w:val="20"/>
                <w:szCs w:val="20"/>
              </w:rPr>
            </w:pPr>
            <w:r w:rsidRPr="00695835">
              <w:rPr>
                <w:rFonts w:cs="Arial"/>
                <w:color w:val="000000"/>
                <w:sz w:val="20"/>
                <w:szCs w:val="20"/>
              </w:rPr>
              <w:t>Environment &amp; Community Services</w:t>
            </w:r>
          </w:p>
        </w:tc>
        <w:tc>
          <w:tcPr>
            <w:tcW w:w="976" w:type="dxa"/>
            <w:tcBorders>
              <w:top w:val="nil"/>
              <w:left w:val="nil"/>
              <w:bottom w:val="nil"/>
              <w:right w:val="nil"/>
            </w:tcBorders>
            <w:shd w:val="clear" w:color="000000" w:fill="E7E6E6"/>
            <w:noWrap/>
            <w:vAlign w:val="bottom"/>
            <w:hideMark/>
          </w:tcPr>
          <w:p w14:paraId="30734095" w14:textId="77777777" w:rsidR="00866495" w:rsidRPr="00695835" w:rsidRDefault="00866495" w:rsidP="0070500D">
            <w:pPr>
              <w:jc w:val="right"/>
              <w:rPr>
                <w:rFonts w:cs="Arial"/>
                <w:color w:val="000000"/>
                <w:sz w:val="20"/>
                <w:szCs w:val="20"/>
              </w:rPr>
            </w:pPr>
            <w:r w:rsidRPr="00695835">
              <w:rPr>
                <w:rFonts w:cs="Arial"/>
                <w:color w:val="000000"/>
                <w:sz w:val="20"/>
                <w:szCs w:val="20"/>
              </w:rPr>
              <w:t>77.5</w:t>
            </w:r>
          </w:p>
        </w:tc>
        <w:tc>
          <w:tcPr>
            <w:tcW w:w="968" w:type="dxa"/>
            <w:tcBorders>
              <w:top w:val="nil"/>
              <w:left w:val="nil"/>
              <w:bottom w:val="nil"/>
              <w:right w:val="single" w:sz="4" w:space="0" w:color="auto"/>
            </w:tcBorders>
            <w:shd w:val="clear" w:color="000000" w:fill="E7E6E6"/>
            <w:noWrap/>
            <w:vAlign w:val="bottom"/>
            <w:hideMark/>
          </w:tcPr>
          <w:p w14:paraId="508160A1" w14:textId="77777777" w:rsidR="00866495" w:rsidRPr="00695835" w:rsidRDefault="00866495" w:rsidP="0070500D">
            <w:pPr>
              <w:jc w:val="right"/>
              <w:rPr>
                <w:rFonts w:cs="Arial"/>
                <w:color w:val="000000"/>
                <w:sz w:val="20"/>
                <w:szCs w:val="20"/>
              </w:rPr>
            </w:pPr>
            <w:r w:rsidRPr="00695835">
              <w:rPr>
                <w:rFonts w:cs="Arial"/>
                <w:color w:val="000000"/>
                <w:sz w:val="20"/>
                <w:szCs w:val="20"/>
              </w:rPr>
              <w:t>10.6%</w:t>
            </w:r>
          </w:p>
        </w:tc>
      </w:tr>
      <w:tr w:rsidR="00866495" w:rsidRPr="00695835" w14:paraId="51665E53"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50B65C0E" w14:textId="77777777" w:rsidR="00866495" w:rsidRPr="00695835" w:rsidRDefault="00866495" w:rsidP="0070500D">
            <w:pPr>
              <w:rPr>
                <w:rFonts w:cs="Arial"/>
                <w:color w:val="000000"/>
                <w:sz w:val="20"/>
                <w:szCs w:val="20"/>
              </w:rPr>
            </w:pPr>
            <w:r w:rsidRPr="00695835">
              <w:rPr>
                <w:rFonts w:cs="Arial"/>
                <w:color w:val="000000"/>
                <w:sz w:val="20"/>
                <w:szCs w:val="20"/>
              </w:rPr>
              <w:lastRenderedPageBreak/>
              <w:t>Housing</w:t>
            </w:r>
          </w:p>
        </w:tc>
        <w:tc>
          <w:tcPr>
            <w:tcW w:w="976" w:type="dxa"/>
            <w:tcBorders>
              <w:top w:val="nil"/>
              <w:left w:val="nil"/>
              <w:bottom w:val="nil"/>
              <w:right w:val="nil"/>
            </w:tcBorders>
            <w:shd w:val="clear" w:color="000000" w:fill="E7E6E6"/>
            <w:noWrap/>
            <w:vAlign w:val="bottom"/>
            <w:hideMark/>
          </w:tcPr>
          <w:p w14:paraId="7EF65D59" w14:textId="77777777" w:rsidR="00866495" w:rsidRPr="00695835" w:rsidRDefault="00866495" w:rsidP="0070500D">
            <w:pPr>
              <w:jc w:val="right"/>
              <w:rPr>
                <w:rFonts w:cs="Arial"/>
                <w:color w:val="000000"/>
                <w:sz w:val="20"/>
                <w:szCs w:val="20"/>
              </w:rPr>
            </w:pPr>
            <w:r w:rsidRPr="00695835">
              <w:rPr>
                <w:rFonts w:cs="Arial"/>
                <w:color w:val="000000"/>
                <w:sz w:val="20"/>
                <w:szCs w:val="20"/>
              </w:rPr>
              <w:t>123.0</w:t>
            </w:r>
          </w:p>
        </w:tc>
        <w:tc>
          <w:tcPr>
            <w:tcW w:w="968" w:type="dxa"/>
            <w:tcBorders>
              <w:top w:val="nil"/>
              <w:left w:val="nil"/>
              <w:bottom w:val="nil"/>
              <w:right w:val="single" w:sz="4" w:space="0" w:color="auto"/>
            </w:tcBorders>
            <w:shd w:val="clear" w:color="000000" w:fill="E7E6E6"/>
            <w:noWrap/>
            <w:vAlign w:val="bottom"/>
            <w:hideMark/>
          </w:tcPr>
          <w:p w14:paraId="4C681E7C" w14:textId="77777777" w:rsidR="00866495" w:rsidRPr="00695835" w:rsidRDefault="00866495" w:rsidP="0070500D">
            <w:pPr>
              <w:jc w:val="right"/>
              <w:rPr>
                <w:rFonts w:cs="Arial"/>
                <w:color w:val="000000"/>
                <w:sz w:val="20"/>
                <w:szCs w:val="20"/>
              </w:rPr>
            </w:pPr>
            <w:r w:rsidRPr="00695835">
              <w:rPr>
                <w:rFonts w:cs="Arial"/>
                <w:color w:val="000000"/>
                <w:sz w:val="20"/>
                <w:szCs w:val="20"/>
              </w:rPr>
              <w:t>16.7%</w:t>
            </w:r>
          </w:p>
        </w:tc>
      </w:tr>
      <w:tr w:rsidR="00866495" w:rsidRPr="00695835" w14:paraId="5A10F184"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5F3D89D7" w14:textId="77777777" w:rsidR="00866495" w:rsidRPr="00695835" w:rsidRDefault="00866495" w:rsidP="0070500D">
            <w:pPr>
              <w:rPr>
                <w:rFonts w:cs="Arial"/>
                <w:color w:val="000000"/>
                <w:sz w:val="20"/>
                <w:szCs w:val="20"/>
              </w:rPr>
            </w:pPr>
            <w:r w:rsidRPr="00695835">
              <w:rPr>
                <w:rFonts w:cs="Arial"/>
                <w:color w:val="000000"/>
                <w:sz w:val="20"/>
                <w:szCs w:val="20"/>
              </w:rPr>
              <w:t>Freedom Pass Costs</w:t>
            </w:r>
          </w:p>
        </w:tc>
        <w:tc>
          <w:tcPr>
            <w:tcW w:w="976" w:type="dxa"/>
            <w:tcBorders>
              <w:top w:val="nil"/>
              <w:left w:val="nil"/>
              <w:bottom w:val="nil"/>
              <w:right w:val="nil"/>
            </w:tcBorders>
            <w:shd w:val="clear" w:color="000000" w:fill="E7E6E6"/>
            <w:noWrap/>
            <w:vAlign w:val="bottom"/>
            <w:hideMark/>
          </w:tcPr>
          <w:p w14:paraId="56DDE854" w14:textId="77777777" w:rsidR="00866495" w:rsidRPr="00695835" w:rsidRDefault="00866495" w:rsidP="0070500D">
            <w:pPr>
              <w:jc w:val="right"/>
              <w:rPr>
                <w:rFonts w:cs="Arial"/>
                <w:color w:val="000000"/>
                <w:sz w:val="20"/>
                <w:szCs w:val="20"/>
              </w:rPr>
            </w:pPr>
            <w:r w:rsidRPr="00695835">
              <w:rPr>
                <w:rFonts w:cs="Arial"/>
                <w:color w:val="000000"/>
                <w:sz w:val="20"/>
                <w:szCs w:val="20"/>
              </w:rPr>
              <w:t>10.9</w:t>
            </w:r>
          </w:p>
        </w:tc>
        <w:tc>
          <w:tcPr>
            <w:tcW w:w="968" w:type="dxa"/>
            <w:tcBorders>
              <w:top w:val="nil"/>
              <w:left w:val="nil"/>
              <w:bottom w:val="nil"/>
              <w:right w:val="single" w:sz="4" w:space="0" w:color="auto"/>
            </w:tcBorders>
            <w:shd w:val="clear" w:color="000000" w:fill="E7E6E6"/>
            <w:noWrap/>
            <w:vAlign w:val="bottom"/>
            <w:hideMark/>
          </w:tcPr>
          <w:p w14:paraId="1A26B596" w14:textId="77777777" w:rsidR="00866495" w:rsidRPr="00695835" w:rsidRDefault="00866495" w:rsidP="0070500D">
            <w:pPr>
              <w:jc w:val="right"/>
              <w:rPr>
                <w:rFonts w:cs="Arial"/>
                <w:color w:val="000000"/>
                <w:sz w:val="20"/>
                <w:szCs w:val="20"/>
              </w:rPr>
            </w:pPr>
            <w:r w:rsidRPr="00695835">
              <w:rPr>
                <w:rFonts w:cs="Arial"/>
                <w:color w:val="000000"/>
                <w:sz w:val="20"/>
                <w:szCs w:val="20"/>
              </w:rPr>
              <w:t>1.5%</w:t>
            </w:r>
          </w:p>
        </w:tc>
      </w:tr>
      <w:tr w:rsidR="00866495" w:rsidRPr="00695835" w14:paraId="74A9C9B6"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570E2D5E" w14:textId="77777777" w:rsidR="00866495" w:rsidRPr="00695835" w:rsidRDefault="00866495" w:rsidP="0070500D">
            <w:pPr>
              <w:rPr>
                <w:rFonts w:cs="Arial"/>
                <w:color w:val="000000"/>
                <w:sz w:val="20"/>
                <w:szCs w:val="20"/>
              </w:rPr>
            </w:pPr>
            <w:r w:rsidRPr="00695835">
              <w:rPr>
                <w:rFonts w:cs="Arial"/>
                <w:color w:val="000000"/>
                <w:sz w:val="20"/>
                <w:szCs w:val="20"/>
              </w:rPr>
              <w:t>Other Council Services (Including Levies)</w:t>
            </w:r>
          </w:p>
        </w:tc>
        <w:tc>
          <w:tcPr>
            <w:tcW w:w="976" w:type="dxa"/>
            <w:tcBorders>
              <w:top w:val="nil"/>
              <w:left w:val="nil"/>
              <w:bottom w:val="nil"/>
              <w:right w:val="nil"/>
            </w:tcBorders>
            <w:shd w:val="clear" w:color="000000" w:fill="E7E6E6"/>
            <w:noWrap/>
            <w:vAlign w:val="bottom"/>
            <w:hideMark/>
          </w:tcPr>
          <w:p w14:paraId="55EF55E0" w14:textId="77777777" w:rsidR="00866495" w:rsidRPr="00695835" w:rsidRDefault="00866495" w:rsidP="0070500D">
            <w:pPr>
              <w:jc w:val="right"/>
              <w:rPr>
                <w:rFonts w:cs="Arial"/>
                <w:color w:val="000000"/>
                <w:sz w:val="20"/>
                <w:szCs w:val="20"/>
              </w:rPr>
            </w:pPr>
            <w:r w:rsidRPr="00695835">
              <w:rPr>
                <w:rFonts w:cs="Arial"/>
                <w:color w:val="000000"/>
                <w:sz w:val="20"/>
                <w:szCs w:val="20"/>
              </w:rPr>
              <w:t>62.9</w:t>
            </w:r>
          </w:p>
        </w:tc>
        <w:tc>
          <w:tcPr>
            <w:tcW w:w="968" w:type="dxa"/>
            <w:tcBorders>
              <w:top w:val="nil"/>
              <w:left w:val="nil"/>
              <w:bottom w:val="nil"/>
              <w:right w:val="single" w:sz="4" w:space="0" w:color="auto"/>
            </w:tcBorders>
            <w:shd w:val="clear" w:color="000000" w:fill="E7E6E6"/>
            <w:noWrap/>
            <w:vAlign w:val="bottom"/>
            <w:hideMark/>
          </w:tcPr>
          <w:p w14:paraId="59BE4D56" w14:textId="77777777" w:rsidR="00866495" w:rsidRPr="00695835" w:rsidRDefault="00866495" w:rsidP="0070500D">
            <w:pPr>
              <w:jc w:val="right"/>
              <w:rPr>
                <w:rFonts w:cs="Arial"/>
                <w:color w:val="000000"/>
                <w:sz w:val="20"/>
                <w:szCs w:val="20"/>
              </w:rPr>
            </w:pPr>
            <w:r w:rsidRPr="00695835">
              <w:rPr>
                <w:rFonts w:cs="Arial"/>
                <w:color w:val="000000"/>
                <w:sz w:val="20"/>
                <w:szCs w:val="20"/>
              </w:rPr>
              <w:t>8.6%</w:t>
            </w:r>
          </w:p>
        </w:tc>
      </w:tr>
      <w:tr w:rsidR="00866495" w:rsidRPr="00695835" w14:paraId="34E0D385" w14:textId="77777777" w:rsidTr="0070500D">
        <w:trPr>
          <w:trHeight w:val="288"/>
        </w:trPr>
        <w:tc>
          <w:tcPr>
            <w:tcW w:w="4888" w:type="dxa"/>
            <w:tcBorders>
              <w:top w:val="nil"/>
              <w:left w:val="single" w:sz="4" w:space="0" w:color="auto"/>
              <w:bottom w:val="single" w:sz="4" w:space="0" w:color="auto"/>
              <w:right w:val="nil"/>
            </w:tcBorders>
            <w:shd w:val="clear" w:color="000000" w:fill="E7E6E6"/>
            <w:noWrap/>
            <w:vAlign w:val="bottom"/>
            <w:hideMark/>
          </w:tcPr>
          <w:p w14:paraId="30AC336B" w14:textId="77777777" w:rsidR="00866495" w:rsidRPr="00695835" w:rsidRDefault="00866495" w:rsidP="0070500D">
            <w:pPr>
              <w:rPr>
                <w:rFonts w:cs="Arial"/>
                <w:b/>
                <w:bCs/>
                <w:color w:val="000000"/>
                <w:sz w:val="20"/>
                <w:szCs w:val="20"/>
              </w:rPr>
            </w:pPr>
            <w:r w:rsidRPr="00695835">
              <w:rPr>
                <w:rFonts w:cs="Arial"/>
                <w:b/>
                <w:bCs/>
                <w:color w:val="000000"/>
                <w:sz w:val="20"/>
                <w:szCs w:val="20"/>
              </w:rPr>
              <w:t>Total</w:t>
            </w:r>
          </w:p>
        </w:tc>
        <w:tc>
          <w:tcPr>
            <w:tcW w:w="976" w:type="dxa"/>
            <w:tcBorders>
              <w:top w:val="nil"/>
              <w:left w:val="nil"/>
              <w:bottom w:val="single" w:sz="4" w:space="0" w:color="auto"/>
              <w:right w:val="nil"/>
            </w:tcBorders>
            <w:shd w:val="clear" w:color="000000" w:fill="E7E6E6"/>
            <w:noWrap/>
            <w:vAlign w:val="bottom"/>
            <w:hideMark/>
          </w:tcPr>
          <w:p w14:paraId="593D63B7" w14:textId="77777777" w:rsidR="00866495" w:rsidRPr="00695835" w:rsidRDefault="00866495" w:rsidP="0070500D">
            <w:pPr>
              <w:jc w:val="right"/>
              <w:rPr>
                <w:rFonts w:cs="Arial"/>
                <w:b/>
                <w:bCs/>
                <w:color w:val="000000"/>
                <w:sz w:val="20"/>
                <w:szCs w:val="20"/>
              </w:rPr>
            </w:pPr>
            <w:r w:rsidRPr="00695835">
              <w:rPr>
                <w:rFonts w:cs="Arial"/>
                <w:b/>
                <w:bCs/>
                <w:color w:val="000000"/>
                <w:sz w:val="20"/>
                <w:szCs w:val="20"/>
              </w:rPr>
              <w:t>733.6</w:t>
            </w:r>
          </w:p>
        </w:tc>
        <w:tc>
          <w:tcPr>
            <w:tcW w:w="968" w:type="dxa"/>
            <w:tcBorders>
              <w:top w:val="nil"/>
              <w:left w:val="nil"/>
              <w:bottom w:val="single" w:sz="4" w:space="0" w:color="auto"/>
              <w:right w:val="single" w:sz="4" w:space="0" w:color="auto"/>
            </w:tcBorders>
            <w:shd w:val="clear" w:color="000000" w:fill="E7E6E6"/>
            <w:noWrap/>
            <w:vAlign w:val="bottom"/>
            <w:hideMark/>
          </w:tcPr>
          <w:p w14:paraId="23274723" w14:textId="77777777" w:rsidR="00866495" w:rsidRPr="00695835" w:rsidRDefault="00866495" w:rsidP="0070500D">
            <w:pPr>
              <w:jc w:val="right"/>
              <w:rPr>
                <w:rFonts w:ascii="Calibri" w:hAnsi="Calibri" w:cs="Calibri"/>
                <w:color w:val="000000"/>
                <w:sz w:val="22"/>
                <w:szCs w:val="22"/>
              </w:rPr>
            </w:pPr>
            <w:r w:rsidRPr="00695835">
              <w:rPr>
                <w:rFonts w:ascii="Calibri" w:hAnsi="Calibri" w:cs="Calibri"/>
                <w:color w:val="000000"/>
                <w:sz w:val="22"/>
                <w:szCs w:val="22"/>
              </w:rPr>
              <w:t>100.0%</w:t>
            </w:r>
          </w:p>
        </w:tc>
      </w:tr>
    </w:tbl>
    <w:p w14:paraId="236709EE" w14:textId="77777777" w:rsidR="00866495" w:rsidRDefault="00866495" w:rsidP="00866495"/>
    <w:p w14:paraId="321CFE6C" w14:textId="77777777" w:rsidR="00912DD4" w:rsidRPr="00A221D6" w:rsidRDefault="00912DD4" w:rsidP="00912DD4">
      <w:pPr>
        <w:pStyle w:val="Heading1"/>
        <w:spacing w:before="100" w:beforeAutospacing="1"/>
        <w:ind w:left="142"/>
        <w:rPr>
          <w:sz w:val="28"/>
        </w:rPr>
      </w:pPr>
      <w:r w:rsidRPr="00A221D6">
        <w:rPr>
          <w:sz w:val="28"/>
        </w:rPr>
        <w:t>How the Council services are funded</w:t>
      </w:r>
    </w:p>
    <w:p w14:paraId="1D5952D2" w14:textId="77777777" w:rsidR="00912DD4" w:rsidRPr="00A221D6" w:rsidRDefault="00912DD4" w:rsidP="00912DD4">
      <w:pPr>
        <w:ind w:left="142"/>
        <w:rPr>
          <w:rFonts w:cs="Arial"/>
          <w:sz w:val="20"/>
          <w:szCs w:val="20"/>
        </w:rPr>
      </w:pPr>
    </w:p>
    <w:p w14:paraId="06CB171D" w14:textId="77777777" w:rsidR="00912DD4" w:rsidRPr="00A221D6" w:rsidRDefault="00912DD4" w:rsidP="00912DD4">
      <w:pPr>
        <w:ind w:left="142"/>
        <w:rPr>
          <w:rFonts w:cs="Arial"/>
        </w:rPr>
      </w:pPr>
      <w:r w:rsidRPr="00A221D6">
        <w:rPr>
          <w:rFonts w:cs="Arial"/>
        </w:rPr>
        <w:t>The following table outlines how the Council services are funded for 202</w:t>
      </w:r>
      <w:r>
        <w:rPr>
          <w:rFonts w:cs="Arial"/>
        </w:rPr>
        <w:t>5/</w:t>
      </w:r>
      <w:r w:rsidRPr="00A221D6">
        <w:rPr>
          <w:rFonts w:cs="Arial"/>
        </w:rPr>
        <w:t>2</w:t>
      </w:r>
      <w:r>
        <w:rPr>
          <w:rFonts w:cs="Arial"/>
        </w:rPr>
        <w:t>6</w:t>
      </w:r>
      <w:r w:rsidRPr="00A221D6">
        <w:rPr>
          <w:rFonts w:cs="Arial"/>
        </w:rPr>
        <w:t xml:space="preserve">: </w:t>
      </w:r>
    </w:p>
    <w:p w14:paraId="38425853" w14:textId="77777777" w:rsidR="00912DD4" w:rsidRDefault="00912DD4" w:rsidP="00912DD4">
      <w:pPr>
        <w:ind w:left="142"/>
        <w:rPr>
          <w:highlight w:val="yellow"/>
        </w:rPr>
      </w:pPr>
    </w:p>
    <w:tbl>
      <w:tblPr>
        <w:tblW w:w="6832" w:type="dxa"/>
        <w:tblLook w:val="04A0" w:firstRow="1" w:lastRow="0" w:firstColumn="1" w:lastColumn="0" w:noHBand="0" w:noVBand="1"/>
      </w:tblPr>
      <w:tblGrid>
        <w:gridCol w:w="4888"/>
        <w:gridCol w:w="976"/>
        <w:gridCol w:w="968"/>
      </w:tblGrid>
      <w:tr w:rsidR="00912DD4" w:rsidRPr="00695835" w14:paraId="5CB7B8D3" w14:textId="77777777" w:rsidTr="0070500D">
        <w:trPr>
          <w:trHeight w:val="540"/>
        </w:trPr>
        <w:tc>
          <w:tcPr>
            <w:tcW w:w="4888" w:type="dxa"/>
            <w:tcBorders>
              <w:top w:val="single" w:sz="4" w:space="0" w:color="auto"/>
              <w:left w:val="single" w:sz="4" w:space="0" w:color="auto"/>
              <w:bottom w:val="nil"/>
              <w:right w:val="nil"/>
            </w:tcBorders>
            <w:shd w:val="clear" w:color="000000" w:fill="E7E6E6"/>
            <w:noWrap/>
            <w:vAlign w:val="bottom"/>
            <w:hideMark/>
          </w:tcPr>
          <w:p w14:paraId="6443491C" w14:textId="77777777" w:rsidR="00912DD4" w:rsidRPr="00695835" w:rsidRDefault="00912DD4" w:rsidP="0070500D">
            <w:pPr>
              <w:rPr>
                <w:rFonts w:cs="Arial"/>
                <w:b/>
                <w:bCs/>
                <w:color w:val="000000"/>
                <w:sz w:val="20"/>
                <w:szCs w:val="20"/>
              </w:rPr>
            </w:pPr>
            <w:r w:rsidRPr="00695835">
              <w:rPr>
                <w:rFonts w:cs="Arial"/>
                <w:b/>
                <w:bCs/>
                <w:color w:val="000000"/>
                <w:sz w:val="20"/>
                <w:szCs w:val="20"/>
              </w:rPr>
              <w:t>Funding of the Council's Services</w:t>
            </w:r>
            <w:r w:rsidRPr="00695835">
              <w:rPr>
                <w:rFonts w:cs="Arial"/>
                <w:b/>
                <w:bCs/>
                <w:color w:val="000000"/>
                <w:sz w:val="20"/>
                <w:szCs w:val="20"/>
              </w:rPr>
              <w:br/>
              <w:t>(Draft Budget)</w:t>
            </w:r>
          </w:p>
        </w:tc>
        <w:tc>
          <w:tcPr>
            <w:tcW w:w="976" w:type="dxa"/>
            <w:tcBorders>
              <w:top w:val="single" w:sz="4" w:space="0" w:color="auto"/>
              <w:left w:val="nil"/>
              <w:bottom w:val="nil"/>
              <w:right w:val="nil"/>
            </w:tcBorders>
            <w:shd w:val="clear" w:color="000000" w:fill="E7E6E6"/>
            <w:noWrap/>
            <w:vAlign w:val="bottom"/>
            <w:hideMark/>
          </w:tcPr>
          <w:p w14:paraId="045892AA" w14:textId="77777777" w:rsidR="00912DD4" w:rsidRPr="00695835" w:rsidRDefault="00912DD4" w:rsidP="0070500D">
            <w:pPr>
              <w:rPr>
                <w:rFonts w:cs="Arial"/>
                <w:b/>
                <w:bCs/>
                <w:color w:val="000000"/>
                <w:sz w:val="20"/>
                <w:szCs w:val="20"/>
              </w:rPr>
            </w:pPr>
            <w:r w:rsidRPr="00695835">
              <w:rPr>
                <w:rFonts w:cs="Arial"/>
                <w:b/>
                <w:bCs/>
                <w:color w:val="000000"/>
                <w:sz w:val="20"/>
                <w:szCs w:val="20"/>
              </w:rPr>
              <w:t>2025/26</w:t>
            </w:r>
          </w:p>
        </w:tc>
        <w:tc>
          <w:tcPr>
            <w:tcW w:w="968" w:type="dxa"/>
            <w:tcBorders>
              <w:top w:val="single" w:sz="4" w:space="0" w:color="auto"/>
              <w:left w:val="nil"/>
              <w:bottom w:val="nil"/>
              <w:right w:val="single" w:sz="4" w:space="0" w:color="auto"/>
            </w:tcBorders>
            <w:shd w:val="clear" w:color="000000" w:fill="E7E6E6"/>
            <w:noWrap/>
            <w:vAlign w:val="bottom"/>
            <w:hideMark/>
          </w:tcPr>
          <w:p w14:paraId="54FF2EEA" w14:textId="77777777" w:rsidR="00912DD4" w:rsidRPr="00695835" w:rsidRDefault="00912DD4" w:rsidP="0070500D">
            <w:pPr>
              <w:rPr>
                <w:rFonts w:ascii="Calibri" w:hAnsi="Calibri" w:cs="Calibri"/>
                <w:color w:val="000000"/>
                <w:sz w:val="22"/>
                <w:szCs w:val="22"/>
              </w:rPr>
            </w:pPr>
            <w:r w:rsidRPr="00695835">
              <w:rPr>
                <w:rFonts w:ascii="Calibri" w:hAnsi="Calibri" w:cs="Calibri"/>
                <w:color w:val="000000"/>
                <w:sz w:val="22"/>
                <w:szCs w:val="22"/>
              </w:rPr>
              <w:t> </w:t>
            </w:r>
          </w:p>
        </w:tc>
      </w:tr>
      <w:tr w:rsidR="00912DD4" w:rsidRPr="00695835" w14:paraId="5CA324EF"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0F3A4D1F" w14:textId="77777777" w:rsidR="00912DD4" w:rsidRPr="00695835" w:rsidRDefault="00912DD4" w:rsidP="0070500D">
            <w:pPr>
              <w:rPr>
                <w:rFonts w:cs="Arial"/>
                <w:color w:val="000000"/>
                <w:sz w:val="20"/>
                <w:szCs w:val="20"/>
              </w:rPr>
            </w:pPr>
            <w:r w:rsidRPr="00695835">
              <w:rPr>
                <w:rFonts w:cs="Arial"/>
                <w:color w:val="000000"/>
                <w:sz w:val="20"/>
                <w:szCs w:val="20"/>
              </w:rPr>
              <w:t>Other - Fees and Charges etc</w:t>
            </w:r>
          </w:p>
        </w:tc>
        <w:tc>
          <w:tcPr>
            <w:tcW w:w="976" w:type="dxa"/>
            <w:tcBorders>
              <w:top w:val="nil"/>
              <w:left w:val="nil"/>
              <w:bottom w:val="nil"/>
              <w:right w:val="nil"/>
            </w:tcBorders>
            <w:shd w:val="clear" w:color="000000" w:fill="E7E6E6"/>
            <w:noWrap/>
            <w:vAlign w:val="bottom"/>
            <w:hideMark/>
          </w:tcPr>
          <w:p w14:paraId="4AAD6944" w14:textId="77777777" w:rsidR="00912DD4" w:rsidRPr="00695835" w:rsidRDefault="00912DD4" w:rsidP="0070500D">
            <w:pPr>
              <w:jc w:val="right"/>
              <w:rPr>
                <w:rFonts w:cs="Arial"/>
                <w:color w:val="000000"/>
                <w:sz w:val="20"/>
                <w:szCs w:val="20"/>
              </w:rPr>
            </w:pPr>
            <w:r w:rsidRPr="00695835">
              <w:rPr>
                <w:rFonts w:cs="Arial"/>
                <w:color w:val="000000"/>
                <w:sz w:val="20"/>
                <w:szCs w:val="20"/>
              </w:rPr>
              <w:t>130.3</w:t>
            </w:r>
          </w:p>
        </w:tc>
        <w:tc>
          <w:tcPr>
            <w:tcW w:w="968" w:type="dxa"/>
            <w:tcBorders>
              <w:top w:val="nil"/>
              <w:left w:val="nil"/>
              <w:bottom w:val="nil"/>
              <w:right w:val="single" w:sz="4" w:space="0" w:color="auto"/>
            </w:tcBorders>
            <w:shd w:val="clear" w:color="000000" w:fill="E7E6E6"/>
            <w:noWrap/>
            <w:vAlign w:val="bottom"/>
            <w:hideMark/>
          </w:tcPr>
          <w:p w14:paraId="79AC28B8" w14:textId="77777777" w:rsidR="00912DD4" w:rsidRPr="00695835" w:rsidRDefault="00912DD4" w:rsidP="0070500D">
            <w:pPr>
              <w:jc w:val="right"/>
              <w:rPr>
                <w:rFonts w:cs="Arial"/>
                <w:color w:val="000000"/>
                <w:sz w:val="20"/>
                <w:szCs w:val="20"/>
              </w:rPr>
            </w:pPr>
            <w:r w:rsidRPr="00695835">
              <w:rPr>
                <w:rFonts w:cs="Arial"/>
                <w:color w:val="000000"/>
                <w:sz w:val="20"/>
                <w:szCs w:val="20"/>
              </w:rPr>
              <w:t>17.8%</w:t>
            </w:r>
          </w:p>
        </w:tc>
      </w:tr>
      <w:tr w:rsidR="00912DD4" w:rsidRPr="00695835" w14:paraId="57205425"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79CCDC08" w14:textId="77777777" w:rsidR="00912DD4" w:rsidRPr="00695835" w:rsidRDefault="00912DD4" w:rsidP="0070500D">
            <w:pPr>
              <w:rPr>
                <w:rFonts w:cs="Arial"/>
                <w:color w:val="000000"/>
                <w:sz w:val="20"/>
                <w:szCs w:val="20"/>
              </w:rPr>
            </w:pPr>
            <w:r w:rsidRPr="00695835">
              <w:rPr>
                <w:rFonts w:cs="Arial"/>
                <w:color w:val="000000"/>
                <w:sz w:val="20"/>
                <w:szCs w:val="20"/>
              </w:rPr>
              <w:t>Dedicated Schools Grant</w:t>
            </w:r>
          </w:p>
        </w:tc>
        <w:tc>
          <w:tcPr>
            <w:tcW w:w="976" w:type="dxa"/>
            <w:tcBorders>
              <w:top w:val="nil"/>
              <w:left w:val="nil"/>
              <w:bottom w:val="nil"/>
              <w:right w:val="nil"/>
            </w:tcBorders>
            <w:shd w:val="clear" w:color="000000" w:fill="E7E6E6"/>
            <w:noWrap/>
            <w:vAlign w:val="bottom"/>
            <w:hideMark/>
          </w:tcPr>
          <w:p w14:paraId="43221EBC" w14:textId="77777777" w:rsidR="00912DD4" w:rsidRPr="00695835" w:rsidRDefault="00912DD4" w:rsidP="0070500D">
            <w:pPr>
              <w:jc w:val="right"/>
              <w:rPr>
                <w:rFonts w:cs="Arial"/>
                <w:color w:val="000000"/>
                <w:sz w:val="20"/>
                <w:szCs w:val="20"/>
              </w:rPr>
            </w:pPr>
            <w:r w:rsidRPr="00695835">
              <w:rPr>
                <w:rFonts w:cs="Arial"/>
                <w:color w:val="000000"/>
                <w:sz w:val="20"/>
                <w:szCs w:val="20"/>
              </w:rPr>
              <w:t>138.8</w:t>
            </w:r>
          </w:p>
        </w:tc>
        <w:tc>
          <w:tcPr>
            <w:tcW w:w="968" w:type="dxa"/>
            <w:tcBorders>
              <w:top w:val="nil"/>
              <w:left w:val="nil"/>
              <w:bottom w:val="nil"/>
              <w:right w:val="single" w:sz="4" w:space="0" w:color="auto"/>
            </w:tcBorders>
            <w:shd w:val="clear" w:color="000000" w:fill="E7E6E6"/>
            <w:noWrap/>
            <w:vAlign w:val="bottom"/>
            <w:hideMark/>
          </w:tcPr>
          <w:p w14:paraId="0F01E7A5" w14:textId="77777777" w:rsidR="00912DD4" w:rsidRPr="00695835" w:rsidRDefault="00912DD4" w:rsidP="0070500D">
            <w:pPr>
              <w:jc w:val="right"/>
              <w:rPr>
                <w:rFonts w:cs="Arial"/>
                <w:color w:val="000000"/>
                <w:sz w:val="20"/>
                <w:szCs w:val="20"/>
              </w:rPr>
            </w:pPr>
            <w:r w:rsidRPr="00695835">
              <w:rPr>
                <w:rFonts w:cs="Arial"/>
                <w:color w:val="000000"/>
                <w:sz w:val="20"/>
                <w:szCs w:val="20"/>
              </w:rPr>
              <w:t>18.9%</w:t>
            </w:r>
          </w:p>
        </w:tc>
      </w:tr>
      <w:tr w:rsidR="00912DD4" w:rsidRPr="00695835" w14:paraId="165F9706"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0E48F9EB" w14:textId="77777777" w:rsidR="00912DD4" w:rsidRPr="00695835" w:rsidRDefault="00912DD4" w:rsidP="0070500D">
            <w:pPr>
              <w:rPr>
                <w:rFonts w:cs="Arial"/>
                <w:color w:val="000000"/>
                <w:sz w:val="20"/>
                <w:szCs w:val="20"/>
              </w:rPr>
            </w:pPr>
            <w:r w:rsidRPr="00695835">
              <w:rPr>
                <w:rFonts w:cs="Arial"/>
                <w:color w:val="000000"/>
                <w:sz w:val="20"/>
                <w:szCs w:val="20"/>
              </w:rPr>
              <w:t>Council Tax</w:t>
            </w:r>
          </w:p>
        </w:tc>
        <w:tc>
          <w:tcPr>
            <w:tcW w:w="976" w:type="dxa"/>
            <w:tcBorders>
              <w:top w:val="nil"/>
              <w:left w:val="nil"/>
              <w:bottom w:val="nil"/>
              <w:right w:val="nil"/>
            </w:tcBorders>
            <w:shd w:val="clear" w:color="000000" w:fill="E7E6E6"/>
            <w:noWrap/>
            <w:vAlign w:val="bottom"/>
            <w:hideMark/>
          </w:tcPr>
          <w:p w14:paraId="20A8641F" w14:textId="77777777" w:rsidR="00912DD4" w:rsidRPr="00695835" w:rsidRDefault="00912DD4" w:rsidP="0070500D">
            <w:pPr>
              <w:jc w:val="right"/>
              <w:rPr>
                <w:rFonts w:cs="Arial"/>
                <w:color w:val="000000"/>
                <w:sz w:val="20"/>
                <w:szCs w:val="20"/>
              </w:rPr>
            </w:pPr>
            <w:r w:rsidRPr="00695835">
              <w:rPr>
                <w:rFonts w:cs="Arial"/>
                <w:color w:val="000000"/>
                <w:sz w:val="20"/>
                <w:szCs w:val="20"/>
              </w:rPr>
              <w:t>213.4</w:t>
            </w:r>
          </w:p>
        </w:tc>
        <w:tc>
          <w:tcPr>
            <w:tcW w:w="968" w:type="dxa"/>
            <w:tcBorders>
              <w:top w:val="nil"/>
              <w:left w:val="nil"/>
              <w:bottom w:val="nil"/>
              <w:right w:val="single" w:sz="4" w:space="0" w:color="auto"/>
            </w:tcBorders>
            <w:shd w:val="clear" w:color="000000" w:fill="E7E6E6"/>
            <w:noWrap/>
            <w:vAlign w:val="bottom"/>
            <w:hideMark/>
          </w:tcPr>
          <w:p w14:paraId="7715B221" w14:textId="77777777" w:rsidR="00912DD4" w:rsidRPr="00695835" w:rsidRDefault="00912DD4" w:rsidP="0070500D">
            <w:pPr>
              <w:jc w:val="right"/>
              <w:rPr>
                <w:rFonts w:cs="Arial"/>
                <w:color w:val="000000"/>
                <w:sz w:val="20"/>
                <w:szCs w:val="20"/>
              </w:rPr>
            </w:pPr>
            <w:r w:rsidRPr="00695835">
              <w:rPr>
                <w:rFonts w:cs="Arial"/>
                <w:color w:val="000000"/>
                <w:sz w:val="20"/>
                <w:szCs w:val="20"/>
              </w:rPr>
              <w:t>29.1%</w:t>
            </w:r>
          </w:p>
        </w:tc>
      </w:tr>
      <w:tr w:rsidR="00912DD4" w:rsidRPr="00695835" w14:paraId="501EDD63"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6C317E8B" w14:textId="77777777" w:rsidR="00912DD4" w:rsidRPr="00695835" w:rsidRDefault="00912DD4" w:rsidP="0070500D">
            <w:pPr>
              <w:rPr>
                <w:rFonts w:cs="Arial"/>
                <w:color w:val="000000"/>
                <w:sz w:val="20"/>
                <w:szCs w:val="20"/>
              </w:rPr>
            </w:pPr>
            <w:r w:rsidRPr="00695835">
              <w:rPr>
                <w:rFonts w:cs="Arial"/>
                <w:color w:val="000000"/>
                <w:sz w:val="20"/>
                <w:szCs w:val="20"/>
              </w:rPr>
              <w:t>Business Rates Retention</w:t>
            </w:r>
          </w:p>
        </w:tc>
        <w:tc>
          <w:tcPr>
            <w:tcW w:w="976" w:type="dxa"/>
            <w:tcBorders>
              <w:top w:val="nil"/>
              <w:left w:val="nil"/>
              <w:bottom w:val="nil"/>
              <w:right w:val="nil"/>
            </w:tcBorders>
            <w:shd w:val="clear" w:color="000000" w:fill="E7E6E6"/>
            <w:noWrap/>
            <w:vAlign w:val="bottom"/>
            <w:hideMark/>
          </w:tcPr>
          <w:p w14:paraId="41D091A2" w14:textId="77777777" w:rsidR="00912DD4" w:rsidRPr="00695835" w:rsidRDefault="00912DD4" w:rsidP="0070500D">
            <w:pPr>
              <w:jc w:val="right"/>
              <w:rPr>
                <w:rFonts w:cs="Arial"/>
                <w:color w:val="000000"/>
                <w:sz w:val="20"/>
                <w:szCs w:val="20"/>
              </w:rPr>
            </w:pPr>
            <w:r w:rsidRPr="00695835">
              <w:rPr>
                <w:rFonts w:cs="Arial"/>
                <w:color w:val="000000"/>
                <w:sz w:val="20"/>
                <w:szCs w:val="20"/>
              </w:rPr>
              <w:t>51.0</w:t>
            </w:r>
          </w:p>
        </w:tc>
        <w:tc>
          <w:tcPr>
            <w:tcW w:w="968" w:type="dxa"/>
            <w:tcBorders>
              <w:top w:val="nil"/>
              <w:left w:val="nil"/>
              <w:bottom w:val="nil"/>
              <w:right w:val="single" w:sz="4" w:space="0" w:color="auto"/>
            </w:tcBorders>
            <w:shd w:val="clear" w:color="000000" w:fill="E7E6E6"/>
            <w:noWrap/>
            <w:vAlign w:val="bottom"/>
            <w:hideMark/>
          </w:tcPr>
          <w:p w14:paraId="796FC67F" w14:textId="77777777" w:rsidR="00912DD4" w:rsidRPr="00695835" w:rsidRDefault="00912DD4" w:rsidP="0070500D">
            <w:pPr>
              <w:jc w:val="right"/>
              <w:rPr>
                <w:rFonts w:cs="Arial"/>
                <w:color w:val="000000"/>
                <w:sz w:val="20"/>
                <w:szCs w:val="20"/>
              </w:rPr>
            </w:pPr>
            <w:r w:rsidRPr="00695835">
              <w:rPr>
                <w:rFonts w:cs="Arial"/>
                <w:color w:val="000000"/>
                <w:sz w:val="20"/>
                <w:szCs w:val="20"/>
              </w:rPr>
              <w:t>6.9%</w:t>
            </w:r>
          </w:p>
        </w:tc>
      </w:tr>
      <w:tr w:rsidR="00912DD4" w:rsidRPr="00695835" w14:paraId="0478E742"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4B20047E" w14:textId="77777777" w:rsidR="00912DD4" w:rsidRPr="00695835" w:rsidRDefault="00912DD4" w:rsidP="0070500D">
            <w:pPr>
              <w:rPr>
                <w:rFonts w:cs="Arial"/>
                <w:color w:val="000000"/>
                <w:sz w:val="20"/>
                <w:szCs w:val="20"/>
              </w:rPr>
            </w:pPr>
            <w:r w:rsidRPr="00695835">
              <w:rPr>
                <w:rFonts w:cs="Arial"/>
                <w:color w:val="000000"/>
                <w:sz w:val="20"/>
                <w:szCs w:val="20"/>
              </w:rPr>
              <w:t>Specific Grants</w:t>
            </w:r>
          </w:p>
        </w:tc>
        <w:tc>
          <w:tcPr>
            <w:tcW w:w="976" w:type="dxa"/>
            <w:tcBorders>
              <w:top w:val="nil"/>
              <w:left w:val="nil"/>
              <w:bottom w:val="nil"/>
              <w:right w:val="nil"/>
            </w:tcBorders>
            <w:shd w:val="clear" w:color="000000" w:fill="E7E6E6"/>
            <w:noWrap/>
            <w:vAlign w:val="bottom"/>
            <w:hideMark/>
          </w:tcPr>
          <w:p w14:paraId="26593456" w14:textId="77777777" w:rsidR="00912DD4" w:rsidRPr="00695835" w:rsidRDefault="00912DD4" w:rsidP="0070500D">
            <w:pPr>
              <w:jc w:val="right"/>
              <w:rPr>
                <w:rFonts w:cs="Arial"/>
                <w:color w:val="000000"/>
                <w:sz w:val="20"/>
                <w:szCs w:val="20"/>
              </w:rPr>
            </w:pPr>
            <w:r w:rsidRPr="00695835">
              <w:rPr>
                <w:rFonts w:cs="Arial"/>
                <w:color w:val="000000"/>
                <w:sz w:val="20"/>
                <w:szCs w:val="20"/>
              </w:rPr>
              <w:t>200.1</w:t>
            </w:r>
          </w:p>
        </w:tc>
        <w:tc>
          <w:tcPr>
            <w:tcW w:w="968" w:type="dxa"/>
            <w:tcBorders>
              <w:top w:val="nil"/>
              <w:left w:val="nil"/>
              <w:bottom w:val="nil"/>
              <w:right w:val="single" w:sz="4" w:space="0" w:color="auto"/>
            </w:tcBorders>
            <w:shd w:val="clear" w:color="000000" w:fill="E7E6E6"/>
            <w:noWrap/>
            <w:vAlign w:val="bottom"/>
            <w:hideMark/>
          </w:tcPr>
          <w:p w14:paraId="4739838F" w14:textId="77777777" w:rsidR="00912DD4" w:rsidRPr="00695835" w:rsidRDefault="00912DD4" w:rsidP="0070500D">
            <w:pPr>
              <w:jc w:val="right"/>
              <w:rPr>
                <w:rFonts w:cs="Arial"/>
                <w:color w:val="000000"/>
                <w:sz w:val="20"/>
                <w:szCs w:val="20"/>
              </w:rPr>
            </w:pPr>
            <w:r w:rsidRPr="00695835">
              <w:rPr>
                <w:rFonts w:cs="Arial"/>
                <w:color w:val="000000"/>
                <w:sz w:val="20"/>
                <w:szCs w:val="20"/>
              </w:rPr>
              <w:t>27.3%</w:t>
            </w:r>
          </w:p>
        </w:tc>
      </w:tr>
      <w:tr w:rsidR="00912DD4" w:rsidRPr="00695835" w14:paraId="03E48863" w14:textId="77777777" w:rsidTr="0070500D">
        <w:trPr>
          <w:trHeight w:val="288"/>
        </w:trPr>
        <w:tc>
          <w:tcPr>
            <w:tcW w:w="4888" w:type="dxa"/>
            <w:tcBorders>
              <w:top w:val="nil"/>
              <w:left w:val="single" w:sz="4" w:space="0" w:color="auto"/>
              <w:bottom w:val="single" w:sz="4" w:space="0" w:color="auto"/>
              <w:right w:val="nil"/>
            </w:tcBorders>
            <w:shd w:val="clear" w:color="000000" w:fill="E7E6E6"/>
            <w:noWrap/>
            <w:vAlign w:val="bottom"/>
            <w:hideMark/>
          </w:tcPr>
          <w:p w14:paraId="2D4C8E71" w14:textId="77777777" w:rsidR="00912DD4" w:rsidRPr="00695835" w:rsidRDefault="00912DD4" w:rsidP="0070500D">
            <w:pPr>
              <w:rPr>
                <w:rFonts w:cs="Arial"/>
                <w:b/>
                <w:bCs/>
                <w:color w:val="000000"/>
                <w:sz w:val="20"/>
                <w:szCs w:val="20"/>
              </w:rPr>
            </w:pPr>
            <w:r w:rsidRPr="00695835">
              <w:rPr>
                <w:rFonts w:cs="Arial"/>
                <w:b/>
                <w:bCs/>
                <w:color w:val="000000"/>
                <w:sz w:val="20"/>
                <w:szCs w:val="20"/>
              </w:rPr>
              <w:t>Total</w:t>
            </w:r>
          </w:p>
        </w:tc>
        <w:tc>
          <w:tcPr>
            <w:tcW w:w="976" w:type="dxa"/>
            <w:tcBorders>
              <w:top w:val="nil"/>
              <w:left w:val="nil"/>
              <w:bottom w:val="single" w:sz="4" w:space="0" w:color="auto"/>
              <w:right w:val="nil"/>
            </w:tcBorders>
            <w:shd w:val="clear" w:color="000000" w:fill="E7E6E6"/>
            <w:noWrap/>
            <w:vAlign w:val="bottom"/>
            <w:hideMark/>
          </w:tcPr>
          <w:p w14:paraId="6D01591E" w14:textId="77777777" w:rsidR="00912DD4" w:rsidRPr="00695835" w:rsidRDefault="00912DD4" w:rsidP="0070500D">
            <w:pPr>
              <w:jc w:val="right"/>
              <w:rPr>
                <w:rFonts w:cs="Arial"/>
                <w:b/>
                <w:bCs/>
                <w:color w:val="000000"/>
                <w:sz w:val="20"/>
                <w:szCs w:val="20"/>
              </w:rPr>
            </w:pPr>
            <w:r w:rsidRPr="00695835">
              <w:rPr>
                <w:rFonts w:cs="Arial"/>
                <w:b/>
                <w:bCs/>
                <w:color w:val="000000"/>
                <w:sz w:val="20"/>
                <w:szCs w:val="20"/>
              </w:rPr>
              <w:t>733.6</w:t>
            </w:r>
          </w:p>
        </w:tc>
        <w:tc>
          <w:tcPr>
            <w:tcW w:w="968" w:type="dxa"/>
            <w:tcBorders>
              <w:top w:val="nil"/>
              <w:left w:val="nil"/>
              <w:bottom w:val="single" w:sz="4" w:space="0" w:color="auto"/>
              <w:right w:val="single" w:sz="4" w:space="0" w:color="auto"/>
            </w:tcBorders>
            <w:shd w:val="clear" w:color="000000" w:fill="E7E6E6"/>
            <w:noWrap/>
            <w:vAlign w:val="bottom"/>
            <w:hideMark/>
          </w:tcPr>
          <w:p w14:paraId="67C4CC75" w14:textId="77777777" w:rsidR="00912DD4" w:rsidRPr="00695835" w:rsidRDefault="00912DD4" w:rsidP="0070500D">
            <w:pPr>
              <w:jc w:val="right"/>
              <w:rPr>
                <w:rFonts w:ascii="Calibri" w:hAnsi="Calibri" w:cs="Calibri"/>
                <w:color w:val="000000"/>
                <w:sz w:val="22"/>
                <w:szCs w:val="22"/>
              </w:rPr>
            </w:pPr>
            <w:r w:rsidRPr="00695835">
              <w:rPr>
                <w:rFonts w:ascii="Calibri" w:hAnsi="Calibri" w:cs="Calibri"/>
                <w:color w:val="000000"/>
                <w:sz w:val="22"/>
                <w:szCs w:val="22"/>
              </w:rPr>
              <w:t>100.0%</w:t>
            </w:r>
          </w:p>
        </w:tc>
      </w:tr>
    </w:tbl>
    <w:p w14:paraId="7150F64F" w14:textId="77777777" w:rsidR="00912DD4" w:rsidRDefault="00912DD4" w:rsidP="00912DD4">
      <w:pPr>
        <w:ind w:left="142"/>
        <w:rPr>
          <w:highlight w:val="yellow"/>
        </w:rPr>
      </w:pPr>
    </w:p>
    <w:tbl>
      <w:tblPr>
        <w:tblW w:w="6832" w:type="dxa"/>
        <w:tblLook w:val="04A0" w:firstRow="1" w:lastRow="0" w:firstColumn="1" w:lastColumn="0" w:noHBand="0" w:noVBand="1"/>
      </w:tblPr>
      <w:tblGrid>
        <w:gridCol w:w="4888"/>
        <w:gridCol w:w="976"/>
        <w:gridCol w:w="968"/>
      </w:tblGrid>
      <w:tr w:rsidR="00912DD4" w:rsidRPr="00695835" w14:paraId="504AFBD4" w14:textId="77777777" w:rsidTr="0070500D">
        <w:trPr>
          <w:trHeight w:val="288"/>
        </w:trPr>
        <w:tc>
          <w:tcPr>
            <w:tcW w:w="4888" w:type="dxa"/>
            <w:tcBorders>
              <w:top w:val="single" w:sz="4" w:space="0" w:color="auto"/>
              <w:left w:val="single" w:sz="4" w:space="0" w:color="auto"/>
              <w:bottom w:val="nil"/>
              <w:right w:val="nil"/>
            </w:tcBorders>
            <w:shd w:val="clear" w:color="000000" w:fill="E7E6E6"/>
            <w:noWrap/>
            <w:vAlign w:val="bottom"/>
            <w:hideMark/>
          </w:tcPr>
          <w:p w14:paraId="4A062551" w14:textId="77777777" w:rsidR="00912DD4" w:rsidRPr="00695835" w:rsidRDefault="00912DD4" w:rsidP="0070500D">
            <w:pPr>
              <w:rPr>
                <w:rFonts w:cs="Arial"/>
                <w:b/>
                <w:bCs/>
                <w:color w:val="000000"/>
                <w:sz w:val="20"/>
                <w:szCs w:val="20"/>
              </w:rPr>
            </w:pPr>
            <w:r w:rsidRPr="00695835">
              <w:rPr>
                <w:rFonts w:cs="Arial"/>
                <w:b/>
                <w:bCs/>
                <w:color w:val="000000"/>
                <w:sz w:val="20"/>
                <w:szCs w:val="20"/>
              </w:rPr>
              <w:t>Where the Money Goes (Draft Budget)</w:t>
            </w:r>
          </w:p>
        </w:tc>
        <w:tc>
          <w:tcPr>
            <w:tcW w:w="976" w:type="dxa"/>
            <w:tcBorders>
              <w:top w:val="single" w:sz="4" w:space="0" w:color="auto"/>
              <w:left w:val="nil"/>
              <w:bottom w:val="nil"/>
              <w:right w:val="nil"/>
            </w:tcBorders>
            <w:shd w:val="clear" w:color="000000" w:fill="E7E6E6"/>
            <w:noWrap/>
            <w:vAlign w:val="bottom"/>
            <w:hideMark/>
          </w:tcPr>
          <w:p w14:paraId="68D26E90" w14:textId="77777777" w:rsidR="00912DD4" w:rsidRPr="00695835" w:rsidRDefault="00912DD4" w:rsidP="0070500D">
            <w:pPr>
              <w:rPr>
                <w:rFonts w:cs="Arial"/>
                <w:b/>
                <w:bCs/>
                <w:color w:val="000000"/>
                <w:sz w:val="20"/>
                <w:szCs w:val="20"/>
              </w:rPr>
            </w:pPr>
            <w:r w:rsidRPr="00695835">
              <w:rPr>
                <w:rFonts w:cs="Arial"/>
                <w:b/>
                <w:bCs/>
                <w:color w:val="000000"/>
                <w:sz w:val="20"/>
                <w:szCs w:val="20"/>
              </w:rPr>
              <w:t>2025/26</w:t>
            </w:r>
          </w:p>
        </w:tc>
        <w:tc>
          <w:tcPr>
            <w:tcW w:w="968" w:type="dxa"/>
            <w:tcBorders>
              <w:top w:val="single" w:sz="4" w:space="0" w:color="auto"/>
              <w:left w:val="nil"/>
              <w:bottom w:val="nil"/>
              <w:right w:val="single" w:sz="4" w:space="0" w:color="auto"/>
            </w:tcBorders>
            <w:shd w:val="clear" w:color="000000" w:fill="E7E6E6"/>
            <w:noWrap/>
            <w:vAlign w:val="bottom"/>
            <w:hideMark/>
          </w:tcPr>
          <w:p w14:paraId="6BE877DB" w14:textId="77777777" w:rsidR="00912DD4" w:rsidRPr="00695835" w:rsidRDefault="00912DD4" w:rsidP="0070500D">
            <w:pPr>
              <w:rPr>
                <w:rFonts w:ascii="Calibri" w:hAnsi="Calibri" w:cs="Calibri"/>
                <w:color w:val="000000"/>
                <w:sz w:val="22"/>
                <w:szCs w:val="22"/>
              </w:rPr>
            </w:pPr>
            <w:r w:rsidRPr="00695835">
              <w:rPr>
                <w:rFonts w:ascii="Calibri" w:hAnsi="Calibri" w:cs="Calibri"/>
                <w:color w:val="000000"/>
                <w:sz w:val="22"/>
                <w:szCs w:val="22"/>
              </w:rPr>
              <w:t> </w:t>
            </w:r>
          </w:p>
        </w:tc>
      </w:tr>
      <w:tr w:rsidR="00912DD4" w:rsidRPr="00695835" w14:paraId="4AEA5DB5"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67ABC3D0" w14:textId="77777777" w:rsidR="00912DD4" w:rsidRPr="00695835" w:rsidRDefault="00912DD4" w:rsidP="0070500D">
            <w:pPr>
              <w:rPr>
                <w:rFonts w:cs="Arial"/>
                <w:color w:val="000000"/>
                <w:sz w:val="20"/>
                <w:szCs w:val="20"/>
              </w:rPr>
            </w:pPr>
            <w:r w:rsidRPr="00695835">
              <w:rPr>
                <w:rFonts w:cs="Arial"/>
                <w:color w:val="000000"/>
                <w:sz w:val="20"/>
                <w:szCs w:val="20"/>
              </w:rPr>
              <w:t>Adult Care &amp; Health</w:t>
            </w:r>
          </w:p>
        </w:tc>
        <w:tc>
          <w:tcPr>
            <w:tcW w:w="976" w:type="dxa"/>
            <w:tcBorders>
              <w:top w:val="nil"/>
              <w:left w:val="nil"/>
              <w:bottom w:val="nil"/>
              <w:right w:val="nil"/>
            </w:tcBorders>
            <w:shd w:val="clear" w:color="000000" w:fill="E7E6E6"/>
            <w:noWrap/>
            <w:vAlign w:val="bottom"/>
            <w:hideMark/>
          </w:tcPr>
          <w:p w14:paraId="4383ED8F" w14:textId="77777777" w:rsidR="00912DD4" w:rsidRPr="00695835" w:rsidRDefault="00912DD4" w:rsidP="0070500D">
            <w:pPr>
              <w:jc w:val="right"/>
              <w:rPr>
                <w:rFonts w:cs="Arial"/>
                <w:color w:val="000000"/>
                <w:sz w:val="20"/>
                <w:szCs w:val="20"/>
              </w:rPr>
            </w:pPr>
            <w:r w:rsidRPr="00695835">
              <w:rPr>
                <w:rFonts w:cs="Arial"/>
                <w:color w:val="000000"/>
                <w:sz w:val="20"/>
                <w:szCs w:val="20"/>
              </w:rPr>
              <w:t>197.4</w:t>
            </w:r>
          </w:p>
        </w:tc>
        <w:tc>
          <w:tcPr>
            <w:tcW w:w="968" w:type="dxa"/>
            <w:tcBorders>
              <w:top w:val="nil"/>
              <w:left w:val="nil"/>
              <w:bottom w:val="nil"/>
              <w:right w:val="single" w:sz="4" w:space="0" w:color="auto"/>
            </w:tcBorders>
            <w:shd w:val="clear" w:color="000000" w:fill="E7E6E6"/>
            <w:noWrap/>
            <w:vAlign w:val="bottom"/>
            <w:hideMark/>
          </w:tcPr>
          <w:p w14:paraId="373D6F7A" w14:textId="77777777" w:rsidR="00912DD4" w:rsidRPr="00695835" w:rsidRDefault="00912DD4" w:rsidP="0070500D">
            <w:pPr>
              <w:jc w:val="right"/>
              <w:rPr>
                <w:rFonts w:cs="Arial"/>
                <w:color w:val="000000"/>
                <w:sz w:val="20"/>
                <w:szCs w:val="20"/>
              </w:rPr>
            </w:pPr>
            <w:r w:rsidRPr="00695835">
              <w:rPr>
                <w:rFonts w:cs="Arial"/>
                <w:color w:val="000000"/>
                <w:sz w:val="20"/>
                <w:szCs w:val="20"/>
              </w:rPr>
              <w:t>26.9%</w:t>
            </w:r>
          </w:p>
        </w:tc>
      </w:tr>
      <w:tr w:rsidR="00912DD4" w:rsidRPr="00695835" w14:paraId="15DA21AE"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1C19C00C" w14:textId="77777777" w:rsidR="00912DD4" w:rsidRPr="00695835" w:rsidRDefault="00912DD4" w:rsidP="0070500D">
            <w:pPr>
              <w:rPr>
                <w:rFonts w:cs="Arial"/>
                <w:color w:val="000000"/>
                <w:sz w:val="20"/>
                <w:szCs w:val="20"/>
              </w:rPr>
            </w:pPr>
            <w:r w:rsidRPr="00695835">
              <w:rPr>
                <w:rFonts w:cs="Arial"/>
                <w:color w:val="000000"/>
                <w:sz w:val="20"/>
                <w:szCs w:val="20"/>
              </w:rPr>
              <w:t>Children, Education and Families</w:t>
            </w:r>
          </w:p>
        </w:tc>
        <w:tc>
          <w:tcPr>
            <w:tcW w:w="976" w:type="dxa"/>
            <w:tcBorders>
              <w:top w:val="nil"/>
              <w:left w:val="nil"/>
              <w:bottom w:val="nil"/>
              <w:right w:val="nil"/>
            </w:tcBorders>
            <w:shd w:val="clear" w:color="000000" w:fill="E7E6E6"/>
            <w:noWrap/>
            <w:vAlign w:val="bottom"/>
            <w:hideMark/>
          </w:tcPr>
          <w:p w14:paraId="22E9574A" w14:textId="77777777" w:rsidR="00912DD4" w:rsidRPr="00695835" w:rsidRDefault="00912DD4" w:rsidP="0070500D">
            <w:pPr>
              <w:jc w:val="right"/>
              <w:rPr>
                <w:rFonts w:cs="Arial"/>
                <w:color w:val="000000"/>
                <w:sz w:val="20"/>
                <w:szCs w:val="20"/>
              </w:rPr>
            </w:pPr>
            <w:r w:rsidRPr="00695835">
              <w:rPr>
                <w:rFonts w:cs="Arial"/>
                <w:color w:val="000000"/>
                <w:sz w:val="20"/>
                <w:szCs w:val="20"/>
              </w:rPr>
              <w:t>261.9</w:t>
            </w:r>
          </w:p>
        </w:tc>
        <w:tc>
          <w:tcPr>
            <w:tcW w:w="968" w:type="dxa"/>
            <w:tcBorders>
              <w:top w:val="nil"/>
              <w:left w:val="nil"/>
              <w:bottom w:val="nil"/>
              <w:right w:val="single" w:sz="4" w:space="0" w:color="auto"/>
            </w:tcBorders>
            <w:shd w:val="clear" w:color="000000" w:fill="E7E6E6"/>
            <w:noWrap/>
            <w:vAlign w:val="bottom"/>
            <w:hideMark/>
          </w:tcPr>
          <w:p w14:paraId="6CC67DEF" w14:textId="77777777" w:rsidR="00912DD4" w:rsidRPr="00695835" w:rsidRDefault="00912DD4" w:rsidP="0070500D">
            <w:pPr>
              <w:jc w:val="right"/>
              <w:rPr>
                <w:rFonts w:cs="Arial"/>
                <w:color w:val="000000"/>
                <w:sz w:val="20"/>
                <w:szCs w:val="20"/>
              </w:rPr>
            </w:pPr>
            <w:r w:rsidRPr="00695835">
              <w:rPr>
                <w:rFonts w:cs="Arial"/>
                <w:color w:val="000000"/>
                <w:sz w:val="20"/>
                <w:szCs w:val="20"/>
              </w:rPr>
              <w:t>35.7%</w:t>
            </w:r>
          </w:p>
        </w:tc>
      </w:tr>
      <w:tr w:rsidR="00912DD4" w:rsidRPr="00695835" w14:paraId="4DA374A3"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6C4ABA65" w14:textId="77777777" w:rsidR="00912DD4" w:rsidRPr="00695835" w:rsidRDefault="00912DD4" w:rsidP="0070500D">
            <w:pPr>
              <w:rPr>
                <w:rFonts w:cs="Arial"/>
                <w:color w:val="000000"/>
                <w:sz w:val="20"/>
                <w:szCs w:val="20"/>
              </w:rPr>
            </w:pPr>
            <w:r w:rsidRPr="00695835">
              <w:rPr>
                <w:rFonts w:cs="Arial"/>
                <w:color w:val="000000"/>
                <w:sz w:val="20"/>
                <w:szCs w:val="20"/>
              </w:rPr>
              <w:t>Environment &amp; Community Services</w:t>
            </w:r>
          </w:p>
        </w:tc>
        <w:tc>
          <w:tcPr>
            <w:tcW w:w="976" w:type="dxa"/>
            <w:tcBorders>
              <w:top w:val="nil"/>
              <w:left w:val="nil"/>
              <w:bottom w:val="nil"/>
              <w:right w:val="nil"/>
            </w:tcBorders>
            <w:shd w:val="clear" w:color="000000" w:fill="E7E6E6"/>
            <w:noWrap/>
            <w:vAlign w:val="bottom"/>
            <w:hideMark/>
          </w:tcPr>
          <w:p w14:paraId="09DD98A6" w14:textId="77777777" w:rsidR="00912DD4" w:rsidRPr="00695835" w:rsidRDefault="00912DD4" w:rsidP="0070500D">
            <w:pPr>
              <w:jc w:val="right"/>
              <w:rPr>
                <w:rFonts w:cs="Arial"/>
                <w:color w:val="000000"/>
                <w:sz w:val="20"/>
                <w:szCs w:val="20"/>
              </w:rPr>
            </w:pPr>
            <w:r w:rsidRPr="00695835">
              <w:rPr>
                <w:rFonts w:cs="Arial"/>
                <w:color w:val="000000"/>
                <w:sz w:val="20"/>
                <w:szCs w:val="20"/>
              </w:rPr>
              <w:t>77.5</w:t>
            </w:r>
          </w:p>
        </w:tc>
        <w:tc>
          <w:tcPr>
            <w:tcW w:w="968" w:type="dxa"/>
            <w:tcBorders>
              <w:top w:val="nil"/>
              <w:left w:val="nil"/>
              <w:bottom w:val="nil"/>
              <w:right w:val="single" w:sz="4" w:space="0" w:color="auto"/>
            </w:tcBorders>
            <w:shd w:val="clear" w:color="000000" w:fill="E7E6E6"/>
            <w:noWrap/>
            <w:vAlign w:val="bottom"/>
            <w:hideMark/>
          </w:tcPr>
          <w:p w14:paraId="1535D7C6" w14:textId="77777777" w:rsidR="00912DD4" w:rsidRPr="00695835" w:rsidRDefault="00912DD4" w:rsidP="0070500D">
            <w:pPr>
              <w:jc w:val="right"/>
              <w:rPr>
                <w:rFonts w:cs="Arial"/>
                <w:color w:val="000000"/>
                <w:sz w:val="20"/>
                <w:szCs w:val="20"/>
              </w:rPr>
            </w:pPr>
            <w:r w:rsidRPr="00695835">
              <w:rPr>
                <w:rFonts w:cs="Arial"/>
                <w:color w:val="000000"/>
                <w:sz w:val="20"/>
                <w:szCs w:val="20"/>
              </w:rPr>
              <w:t>10.6%</w:t>
            </w:r>
          </w:p>
        </w:tc>
      </w:tr>
      <w:tr w:rsidR="00912DD4" w:rsidRPr="00695835" w14:paraId="0BAA4E32"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12BE636A" w14:textId="77777777" w:rsidR="00912DD4" w:rsidRPr="00695835" w:rsidRDefault="00912DD4" w:rsidP="0070500D">
            <w:pPr>
              <w:rPr>
                <w:rFonts w:cs="Arial"/>
                <w:color w:val="000000"/>
                <w:sz w:val="20"/>
                <w:szCs w:val="20"/>
              </w:rPr>
            </w:pPr>
            <w:r w:rsidRPr="00695835">
              <w:rPr>
                <w:rFonts w:cs="Arial"/>
                <w:color w:val="000000"/>
                <w:sz w:val="20"/>
                <w:szCs w:val="20"/>
              </w:rPr>
              <w:t>Housing</w:t>
            </w:r>
          </w:p>
        </w:tc>
        <w:tc>
          <w:tcPr>
            <w:tcW w:w="976" w:type="dxa"/>
            <w:tcBorders>
              <w:top w:val="nil"/>
              <w:left w:val="nil"/>
              <w:bottom w:val="nil"/>
              <w:right w:val="nil"/>
            </w:tcBorders>
            <w:shd w:val="clear" w:color="000000" w:fill="E7E6E6"/>
            <w:noWrap/>
            <w:vAlign w:val="bottom"/>
            <w:hideMark/>
          </w:tcPr>
          <w:p w14:paraId="2CF896F3" w14:textId="77777777" w:rsidR="00912DD4" w:rsidRPr="00695835" w:rsidRDefault="00912DD4" w:rsidP="0070500D">
            <w:pPr>
              <w:jc w:val="right"/>
              <w:rPr>
                <w:rFonts w:cs="Arial"/>
                <w:color w:val="000000"/>
                <w:sz w:val="20"/>
                <w:szCs w:val="20"/>
              </w:rPr>
            </w:pPr>
            <w:r w:rsidRPr="00695835">
              <w:rPr>
                <w:rFonts w:cs="Arial"/>
                <w:color w:val="000000"/>
                <w:sz w:val="20"/>
                <w:szCs w:val="20"/>
              </w:rPr>
              <w:t>123.0</w:t>
            </w:r>
          </w:p>
        </w:tc>
        <w:tc>
          <w:tcPr>
            <w:tcW w:w="968" w:type="dxa"/>
            <w:tcBorders>
              <w:top w:val="nil"/>
              <w:left w:val="nil"/>
              <w:bottom w:val="nil"/>
              <w:right w:val="single" w:sz="4" w:space="0" w:color="auto"/>
            </w:tcBorders>
            <w:shd w:val="clear" w:color="000000" w:fill="E7E6E6"/>
            <w:noWrap/>
            <w:vAlign w:val="bottom"/>
            <w:hideMark/>
          </w:tcPr>
          <w:p w14:paraId="57C3C004" w14:textId="77777777" w:rsidR="00912DD4" w:rsidRPr="00695835" w:rsidRDefault="00912DD4" w:rsidP="0070500D">
            <w:pPr>
              <w:jc w:val="right"/>
              <w:rPr>
                <w:rFonts w:cs="Arial"/>
                <w:color w:val="000000"/>
                <w:sz w:val="20"/>
                <w:szCs w:val="20"/>
              </w:rPr>
            </w:pPr>
            <w:r w:rsidRPr="00695835">
              <w:rPr>
                <w:rFonts w:cs="Arial"/>
                <w:color w:val="000000"/>
                <w:sz w:val="20"/>
                <w:szCs w:val="20"/>
              </w:rPr>
              <w:t>16.7%</w:t>
            </w:r>
          </w:p>
        </w:tc>
      </w:tr>
      <w:tr w:rsidR="00912DD4" w:rsidRPr="00695835" w14:paraId="03596167"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1F86877E" w14:textId="77777777" w:rsidR="00912DD4" w:rsidRPr="00695835" w:rsidRDefault="00912DD4" w:rsidP="0070500D">
            <w:pPr>
              <w:rPr>
                <w:rFonts w:cs="Arial"/>
                <w:color w:val="000000"/>
                <w:sz w:val="20"/>
                <w:szCs w:val="20"/>
              </w:rPr>
            </w:pPr>
            <w:r w:rsidRPr="00695835">
              <w:rPr>
                <w:rFonts w:cs="Arial"/>
                <w:color w:val="000000"/>
                <w:sz w:val="20"/>
                <w:szCs w:val="20"/>
              </w:rPr>
              <w:t>Freedom Pass Costs</w:t>
            </w:r>
          </w:p>
        </w:tc>
        <w:tc>
          <w:tcPr>
            <w:tcW w:w="976" w:type="dxa"/>
            <w:tcBorders>
              <w:top w:val="nil"/>
              <w:left w:val="nil"/>
              <w:bottom w:val="nil"/>
              <w:right w:val="nil"/>
            </w:tcBorders>
            <w:shd w:val="clear" w:color="000000" w:fill="E7E6E6"/>
            <w:noWrap/>
            <w:vAlign w:val="bottom"/>
            <w:hideMark/>
          </w:tcPr>
          <w:p w14:paraId="0708B083" w14:textId="77777777" w:rsidR="00912DD4" w:rsidRPr="00695835" w:rsidRDefault="00912DD4" w:rsidP="0070500D">
            <w:pPr>
              <w:jc w:val="right"/>
              <w:rPr>
                <w:rFonts w:cs="Arial"/>
                <w:color w:val="000000"/>
                <w:sz w:val="20"/>
                <w:szCs w:val="20"/>
              </w:rPr>
            </w:pPr>
            <w:r w:rsidRPr="00695835">
              <w:rPr>
                <w:rFonts w:cs="Arial"/>
                <w:color w:val="000000"/>
                <w:sz w:val="20"/>
                <w:szCs w:val="20"/>
              </w:rPr>
              <w:t>10.9</w:t>
            </w:r>
          </w:p>
        </w:tc>
        <w:tc>
          <w:tcPr>
            <w:tcW w:w="968" w:type="dxa"/>
            <w:tcBorders>
              <w:top w:val="nil"/>
              <w:left w:val="nil"/>
              <w:bottom w:val="nil"/>
              <w:right w:val="single" w:sz="4" w:space="0" w:color="auto"/>
            </w:tcBorders>
            <w:shd w:val="clear" w:color="000000" w:fill="E7E6E6"/>
            <w:noWrap/>
            <w:vAlign w:val="bottom"/>
            <w:hideMark/>
          </w:tcPr>
          <w:p w14:paraId="73684CDB" w14:textId="77777777" w:rsidR="00912DD4" w:rsidRPr="00695835" w:rsidRDefault="00912DD4" w:rsidP="0070500D">
            <w:pPr>
              <w:jc w:val="right"/>
              <w:rPr>
                <w:rFonts w:cs="Arial"/>
                <w:color w:val="000000"/>
                <w:sz w:val="20"/>
                <w:szCs w:val="20"/>
              </w:rPr>
            </w:pPr>
            <w:r w:rsidRPr="00695835">
              <w:rPr>
                <w:rFonts w:cs="Arial"/>
                <w:color w:val="000000"/>
                <w:sz w:val="20"/>
                <w:szCs w:val="20"/>
              </w:rPr>
              <w:t>1.5%</w:t>
            </w:r>
          </w:p>
        </w:tc>
      </w:tr>
      <w:tr w:rsidR="00912DD4" w:rsidRPr="00695835" w14:paraId="7A4E306A" w14:textId="77777777" w:rsidTr="0070500D">
        <w:trPr>
          <w:trHeight w:val="288"/>
        </w:trPr>
        <w:tc>
          <w:tcPr>
            <w:tcW w:w="4888" w:type="dxa"/>
            <w:tcBorders>
              <w:top w:val="nil"/>
              <w:left w:val="single" w:sz="4" w:space="0" w:color="auto"/>
              <w:bottom w:val="nil"/>
              <w:right w:val="nil"/>
            </w:tcBorders>
            <w:shd w:val="clear" w:color="000000" w:fill="E7E6E6"/>
            <w:noWrap/>
            <w:vAlign w:val="bottom"/>
            <w:hideMark/>
          </w:tcPr>
          <w:p w14:paraId="16FA5901" w14:textId="77777777" w:rsidR="00912DD4" w:rsidRPr="00695835" w:rsidRDefault="00912DD4" w:rsidP="0070500D">
            <w:pPr>
              <w:rPr>
                <w:rFonts w:cs="Arial"/>
                <w:color w:val="000000"/>
                <w:sz w:val="20"/>
                <w:szCs w:val="20"/>
              </w:rPr>
            </w:pPr>
            <w:r w:rsidRPr="00695835">
              <w:rPr>
                <w:rFonts w:cs="Arial"/>
                <w:color w:val="000000"/>
                <w:sz w:val="20"/>
                <w:szCs w:val="20"/>
              </w:rPr>
              <w:t>Other Council Services (Including Levies)</w:t>
            </w:r>
          </w:p>
        </w:tc>
        <w:tc>
          <w:tcPr>
            <w:tcW w:w="976" w:type="dxa"/>
            <w:tcBorders>
              <w:top w:val="nil"/>
              <w:left w:val="nil"/>
              <w:bottom w:val="nil"/>
              <w:right w:val="nil"/>
            </w:tcBorders>
            <w:shd w:val="clear" w:color="000000" w:fill="E7E6E6"/>
            <w:noWrap/>
            <w:vAlign w:val="bottom"/>
            <w:hideMark/>
          </w:tcPr>
          <w:p w14:paraId="1D3531C4" w14:textId="77777777" w:rsidR="00912DD4" w:rsidRPr="00695835" w:rsidRDefault="00912DD4" w:rsidP="0070500D">
            <w:pPr>
              <w:jc w:val="right"/>
              <w:rPr>
                <w:rFonts w:cs="Arial"/>
                <w:color w:val="000000"/>
                <w:sz w:val="20"/>
                <w:szCs w:val="20"/>
              </w:rPr>
            </w:pPr>
            <w:r w:rsidRPr="00695835">
              <w:rPr>
                <w:rFonts w:cs="Arial"/>
                <w:color w:val="000000"/>
                <w:sz w:val="20"/>
                <w:szCs w:val="20"/>
              </w:rPr>
              <w:t>62.9</w:t>
            </w:r>
          </w:p>
        </w:tc>
        <w:tc>
          <w:tcPr>
            <w:tcW w:w="968" w:type="dxa"/>
            <w:tcBorders>
              <w:top w:val="nil"/>
              <w:left w:val="nil"/>
              <w:bottom w:val="nil"/>
              <w:right w:val="single" w:sz="4" w:space="0" w:color="auto"/>
            </w:tcBorders>
            <w:shd w:val="clear" w:color="000000" w:fill="E7E6E6"/>
            <w:noWrap/>
            <w:vAlign w:val="bottom"/>
            <w:hideMark/>
          </w:tcPr>
          <w:p w14:paraId="1CC2DABC" w14:textId="77777777" w:rsidR="00912DD4" w:rsidRPr="00695835" w:rsidRDefault="00912DD4" w:rsidP="0070500D">
            <w:pPr>
              <w:jc w:val="right"/>
              <w:rPr>
                <w:rFonts w:cs="Arial"/>
                <w:color w:val="000000"/>
                <w:sz w:val="20"/>
                <w:szCs w:val="20"/>
              </w:rPr>
            </w:pPr>
            <w:r w:rsidRPr="00695835">
              <w:rPr>
                <w:rFonts w:cs="Arial"/>
                <w:color w:val="000000"/>
                <w:sz w:val="20"/>
                <w:szCs w:val="20"/>
              </w:rPr>
              <w:t>8.6%</w:t>
            </w:r>
          </w:p>
        </w:tc>
      </w:tr>
      <w:tr w:rsidR="00912DD4" w:rsidRPr="00695835" w14:paraId="1435FB29" w14:textId="77777777" w:rsidTr="0070500D">
        <w:trPr>
          <w:trHeight w:val="288"/>
        </w:trPr>
        <w:tc>
          <w:tcPr>
            <w:tcW w:w="4888" w:type="dxa"/>
            <w:tcBorders>
              <w:top w:val="nil"/>
              <w:left w:val="single" w:sz="4" w:space="0" w:color="auto"/>
              <w:bottom w:val="single" w:sz="4" w:space="0" w:color="auto"/>
              <w:right w:val="nil"/>
            </w:tcBorders>
            <w:shd w:val="clear" w:color="000000" w:fill="E7E6E6"/>
            <w:noWrap/>
            <w:vAlign w:val="bottom"/>
            <w:hideMark/>
          </w:tcPr>
          <w:p w14:paraId="24A455B6" w14:textId="77777777" w:rsidR="00912DD4" w:rsidRPr="00695835" w:rsidRDefault="00912DD4" w:rsidP="0070500D">
            <w:pPr>
              <w:rPr>
                <w:rFonts w:cs="Arial"/>
                <w:b/>
                <w:bCs/>
                <w:color w:val="000000"/>
                <w:sz w:val="20"/>
                <w:szCs w:val="20"/>
              </w:rPr>
            </w:pPr>
            <w:r w:rsidRPr="00695835">
              <w:rPr>
                <w:rFonts w:cs="Arial"/>
                <w:b/>
                <w:bCs/>
                <w:color w:val="000000"/>
                <w:sz w:val="20"/>
                <w:szCs w:val="20"/>
              </w:rPr>
              <w:t>Total</w:t>
            </w:r>
          </w:p>
        </w:tc>
        <w:tc>
          <w:tcPr>
            <w:tcW w:w="976" w:type="dxa"/>
            <w:tcBorders>
              <w:top w:val="nil"/>
              <w:left w:val="nil"/>
              <w:bottom w:val="single" w:sz="4" w:space="0" w:color="auto"/>
              <w:right w:val="nil"/>
            </w:tcBorders>
            <w:shd w:val="clear" w:color="000000" w:fill="E7E6E6"/>
            <w:noWrap/>
            <w:vAlign w:val="bottom"/>
            <w:hideMark/>
          </w:tcPr>
          <w:p w14:paraId="4F78DCB1" w14:textId="77777777" w:rsidR="00912DD4" w:rsidRPr="00695835" w:rsidRDefault="00912DD4" w:rsidP="0070500D">
            <w:pPr>
              <w:jc w:val="right"/>
              <w:rPr>
                <w:rFonts w:cs="Arial"/>
                <w:b/>
                <w:bCs/>
                <w:color w:val="000000"/>
                <w:sz w:val="20"/>
                <w:szCs w:val="20"/>
              </w:rPr>
            </w:pPr>
            <w:r w:rsidRPr="00695835">
              <w:rPr>
                <w:rFonts w:cs="Arial"/>
                <w:b/>
                <w:bCs/>
                <w:color w:val="000000"/>
                <w:sz w:val="20"/>
                <w:szCs w:val="20"/>
              </w:rPr>
              <w:t>733.6</w:t>
            </w:r>
          </w:p>
        </w:tc>
        <w:tc>
          <w:tcPr>
            <w:tcW w:w="968" w:type="dxa"/>
            <w:tcBorders>
              <w:top w:val="nil"/>
              <w:left w:val="nil"/>
              <w:bottom w:val="single" w:sz="4" w:space="0" w:color="auto"/>
              <w:right w:val="single" w:sz="4" w:space="0" w:color="auto"/>
            </w:tcBorders>
            <w:shd w:val="clear" w:color="000000" w:fill="E7E6E6"/>
            <w:noWrap/>
            <w:vAlign w:val="bottom"/>
            <w:hideMark/>
          </w:tcPr>
          <w:p w14:paraId="6AB74744" w14:textId="77777777" w:rsidR="00912DD4" w:rsidRPr="00695835" w:rsidRDefault="00912DD4" w:rsidP="0070500D">
            <w:pPr>
              <w:jc w:val="right"/>
              <w:rPr>
                <w:rFonts w:ascii="Calibri" w:hAnsi="Calibri" w:cs="Calibri"/>
                <w:color w:val="000000"/>
                <w:sz w:val="22"/>
                <w:szCs w:val="22"/>
              </w:rPr>
            </w:pPr>
            <w:r w:rsidRPr="00695835">
              <w:rPr>
                <w:rFonts w:ascii="Calibri" w:hAnsi="Calibri" w:cs="Calibri"/>
                <w:color w:val="000000"/>
                <w:sz w:val="22"/>
                <w:szCs w:val="22"/>
              </w:rPr>
              <w:t>100.0%</w:t>
            </w:r>
          </w:p>
        </w:tc>
      </w:tr>
    </w:tbl>
    <w:p w14:paraId="75F1063E" w14:textId="77777777" w:rsidR="00912DD4" w:rsidRPr="00D870BA" w:rsidRDefault="00912DD4" w:rsidP="00912DD4">
      <w:pPr>
        <w:ind w:left="142"/>
        <w:rPr>
          <w:highlight w:val="yellow"/>
        </w:rPr>
      </w:pPr>
    </w:p>
    <w:p w14:paraId="3A897B20" w14:textId="77777777" w:rsidR="00912DD4" w:rsidRPr="00912DD4" w:rsidRDefault="00912DD4" w:rsidP="00912DD4">
      <w:pPr>
        <w:pStyle w:val="Heading1"/>
        <w:ind w:left="142"/>
        <w:rPr>
          <w:sz w:val="28"/>
        </w:rPr>
      </w:pPr>
      <w:bookmarkStart w:id="3" w:name="_Toc444695164"/>
      <w:r w:rsidRPr="00912DD4">
        <w:rPr>
          <w:sz w:val="28"/>
        </w:rPr>
        <w:t>Statement concerning adult social care funding:</w:t>
      </w:r>
      <w:bookmarkEnd w:id="3"/>
    </w:p>
    <w:p w14:paraId="4745452E" w14:textId="77777777" w:rsidR="00912DD4" w:rsidRPr="00912DD4" w:rsidRDefault="00912DD4" w:rsidP="00912DD4"/>
    <w:p w14:paraId="477BC549" w14:textId="77777777" w:rsidR="00912DD4" w:rsidRPr="00912DD4" w:rsidRDefault="00912DD4" w:rsidP="00912DD4">
      <w:pPr>
        <w:tabs>
          <w:tab w:val="left" w:pos="3165"/>
        </w:tabs>
        <w:ind w:left="142"/>
        <w:rPr>
          <w:rFonts w:cs="Arial"/>
        </w:rPr>
      </w:pPr>
      <w:r w:rsidRPr="00912DD4">
        <w:rPr>
          <w:rFonts w:cs="Arial"/>
        </w:rPr>
        <w:t xml:space="preserve">The Secretary of State for Communities and Local Government has made an offer to adult social care authorities. </w:t>
      </w:r>
      <w:r w:rsidRPr="00912DD4">
        <w:rPr>
          <w:rFonts w:cs="Arial"/>
          <w:color w:val="FF0000"/>
        </w:rPr>
        <w:t xml:space="preserve"> </w:t>
      </w:r>
      <w:r w:rsidRPr="00912DD4">
        <w:rPr>
          <w:rFonts w:cs="Arial"/>
        </w:rPr>
        <w:t>(“Adult social care authorities” are local authorities which have functions under Part 1 of the Care Act 2014, namely county councils in England, district councils for an area in England for which there is no county council, London borough councils, the Common Council of the City of London and the Council of the Isles of Scilly.)</w:t>
      </w:r>
    </w:p>
    <w:p w14:paraId="724C579C" w14:textId="77777777" w:rsidR="00912DD4" w:rsidRPr="00912DD4" w:rsidRDefault="00912DD4" w:rsidP="00912DD4">
      <w:pPr>
        <w:tabs>
          <w:tab w:val="left" w:pos="3165"/>
        </w:tabs>
        <w:ind w:left="142"/>
        <w:rPr>
          <w:rFonts w:cs="Arial"/>
        </w:rPr>
      </w:pPr>
      <w:r w:rsidRPr="00912DD4">
        <w:rPr>
          <w:rFonts w:cs="Arial"/>
        </w:rPr>
        <w:t xml:space="preserve"> </w:t>
      </w:r>
    </w:p>
    <w:p w14:paraId="75C9F08F" w14:textId="2A633A4D" w:rsidR="00912DD4" w:rsidRDefault="00912DD4" w:rsidP="00912DD4">
      <w:pPr>
        <w:ind w:left="142"/>
        <w:rPr>
          <w:rFonts w:cs="Arial"/>
        </w:rPr>
      </w:pPr>
      <w:r w:rsidRPr="00912DD4">
        <w:rPr>
          <w:rFonts w:cs="Arial"/>
        </w:rPr>
        <w:t>The offer is the option of an adult social care authority being able to charge an additional “precept” on its council tax for financial years from the financial year beginning in 2016 without holding a referendum, to assist the authority in meeting expenditure on adult social care. Subject to the annual approval of the House of Commons, the Secretary of State intends to offer the option of charging this “precept” at an appropriate level in each financial year up to and including 2025-26.</w:t>
      </w:r>
      <w:r w:rsidRPr="001D56DB">
        <w:rPr>
          <w:rFonts w:cs="Arial"/>
        </w:rPr>
        <w:t xml:space="preserve"> </w:t>
      </w:r>
    </w:p>
    <w:p w14:paraId="5F1E8593" w14:textId="77777777" w:rsidR="00912DD4" w:rsidRDefault="00912DD4" w:rsidP="00912DD4">
      <w:pPr>
        <w:ind w:left="142"/>
        <w:rPr>
          <w:rFonts w:cs="Arial"/>
        </w:rPr>
      </w:pPr>
    </w:p>
    <w:p w14:paraId="7EE94DF3" w14:textId="016DBB98" w:rsidR="00912DD4" w:rsidRDefault="00912DD4" w:rsidP="00912DD4">
      <w:pPr>
        <w:pStyle w:val="Heading1"/>
        <w:ind w:left="142"/>
      </w:pPr>
      <w:bookmarkStart w:id="4" w:name="_Toc444695165"/>
      <w:r w:rsidRPr="001D56DB">
        <w:t>Levying</w:t>
      </w:r>
      <w:r>
        <w:t xml:space="preserve"> Authorities charges</w:t>
      </w:r>
      <w:bookmarkEnd w:id="4"/>
    </w:p>
    <w:p w14:paraId="57605564" w14:textId="77777777" w:rsidR="00912DD4" w:rsidRDefault="00912DD4" w:rsidP="00912DD4">
      <w:pPr>
        <w:ind w:left="142"/>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095"/>
        <w:gridCol w:w="1134"/>
        <w:gridCol w:w="1701"/>
      </w:tblGrid>
      <w:tr w:rsidR="00912DD4" w:rsidRPr="00634828" w14:paraId="0F9D0E1C" w14:textId="77777777" w:rsidTr="0070500D">
        <w:tc>
          <w:tcPr>
            <w:tcW w:w="1276" w:type="dxa"/>
          </w:tcPr>
          <w:p w14:paraId="25B8CFBF" w14:textId="77777777" w:rsidR="00912DD4" w:rsidRPr="007B5308" w:rsidRDefault="00912DD4" w:rsidP="0070500D">
            <w:pPr>
              <w:ind w:left="142"/>
              <w:jc w:val="center"/>
              <w:rPr>
                <w:sz w:val="20"/>
                <w:szCs w:val="20"/>
              </w:rPr>
            </w:pPr>
            <w:r w:rsidRPr="007B5308">
              <w:rPr>
                <w:sz w:val="20"/>
                <w:szCs w:val="20"/>
              </w:rPr>
              <w:t>2024/25</w:t>
            </w:r>
          </w:p>
          <w:p w14:paraId="3E0693E0" w14:textId="77777777" w:rsidR="00912DD4" w:rsidRPr="007B5308" w:rsidRDefault="00912DD4" w:rsidP="0070500D">
            <w:pPr>
              <w:ind w:left="142"/>
              <w:jc w:val="center"/>
              <w:rPr>
                <w:sz w:val="20"/>
                <w:szCs w:val="20"/>
              </w:rPr>
            </w:pPr>
            <w:r w:rsidRPr="007B5308">
              <w:rPr>
                <w:sz w:val="20"/>
                <w:szCs w:val="20"/>
              </w:rPr>
              <w:t>£’000</w:t>
            </w:r>
          </w:p>
        </w:tc>
        <w:tc>
          <w:tcPr>
            <w:tcW w:w="6095" w:type="dxa"/>
            <w:vAlign w:val="center"/>
          </w:tcPr>
          <w:p w14:paraId="1D63C8C7" w14:textId="77777777" w:rsidR="00912DD4" w:rsidRPr="007B5308" w:rsidRDefault="00912DD4" w:rsidP="0070500D">
            <w:pPr>
              <w:ind w:left="142"/>
              <w:rPr>
                <w:b/>
                <w:sz w:val="20"/>
                <w:szCs w:val="20"/>
              </w:rPr>
            </w:pPr>
            <w:r w:rsidRPr="007B5308">
              <w:rPr>
                <w:b/>
                <w:sz w:val="20"/>
                <w:szCs w:val="20"/>
              </w:rPr>
              <w:t>Levying Authority</w:t>
            </w:r>
          </w:p>
        </w:tc>
        <w:tc>
          <w:tcPr>
            <w:tcW w:w="1134" w:type="dxa"/>
          </w:tcPr>
          <w:p w14:paraId="181A29F3" w14:textId="77777777" w:rsidR="00912DD4" w:rsidRPr="007B5308" w:rsidRDefault="00912DD4" w:rsidP="0070500D">
            <w:pPr>
              <w:ind w:left="142"/>
              <w:jc w:val="center"/>
              <w:rPr>
                <w:sz w:val="20"/>
                <w:szCs w:val="20"/>
              </w:rPr>
            </w:pPr>
            <w:r w:rsidRPr="007B5308">
              <w:rPr>
                <w:sz w:val="20"/>
                <w:szCs w:val="20"/>
              </w:rPr>
              <w:t>202</w:t>
            </w:r>
            <w:r>
              <w:rPr>
                <w:sz w:val="20"/>
                <w:szCs w:val="20"/>
              </w:rPr>
              <w:t>5</w:t>
            </w:r>
            <w:r w:rsidRPr="007B5308">
              <w:rPr>
                <w:sz w:val="20"/>
                <w:szCs w:val="20"/>
              </w:rPr>
              <w:t>/2</w:t>
            </w:r>
            <w:r>
              <w:rPr>
                <w:sz w:val="20"/>
                <w:szCs w:val="20"/>
              </w:rPr>
              <w:t>6</w:t>
            </w:r>
          </w:p>
          <w:p w14:paraId="3EC816D6" w14:textId="77777777" w:rsidR="00912DD4" w:rsidRPr="007B5308" w:rsidRDefault="00912DD4" w:rsidP="0070500D">
            <w:pPr>
              <w:ind w:left="142"/>
              <w:jc w:val="center"/>
              <w:rPr>
                <w:sz w:val="20"/>
                <w:szCs w:val="20"/>
              </w:rPr>
            </w:pPr>
            <w:r w:rsidRPr="007B5308">
              <w:rPr>
                <w:sz w:val="20"/>
                <w:szCs w:val="20"/>
              </w:rPr>
              <w:t>£’000</w:t>
            </w:r>
          </w:p>
        </w:tc>
        <w:tc>
          <w:tcPr>
            <w:tcW w:w="1701" w:type="dxa"/>
          </w:tcPr>
          <w:p w14:paraId="1D20D521" w14:textId="77777777" w:rsidR="00912DD4" w:rsidRPr="007B5308" w:rsidRDefault="00912DD4" w:rsidP="0070500D">
            <w:pPr>
              <w:ind w:left="142"/>
              <w:jc w:val="center"/>
              <w:rPr>
                <w:sz w:val="20"/>
                <w:szCs w:val="20"/>
              </w:rPr>
            </w:pPr>
            <w:r w:rsidRPr="007B5308">
              <w:rPr>
                <w:sz w:val="20"/>
                <w:szCs w:val="20"/>
              </w:rPr>
              <w:t>C/Tax per Band D dwelling</w:t>
            </w:r>
          </w:p>
        </w:tc>
      </w:tr>
      <w:tr w:rsidR="00912DD4" w:rsidRPr="00634828" w14:paraId="0180E9A0" w14:textId="77777777" w:rsidTr="0070500D">
        <w:tc>
          <w:tcPr>
            <w:tcW w:w="1276" w:type="dxa"/>
          </w:tcPr>
          <w:p w14:paraId="173307B7" w14:textId="77777777" w:rsidR="00912DD4" w:rsidRPr="007B5308" w:rsidRDefault="00912DD4" w:rsidP="0070500D">
            <w:pPr>
              <w:jc w:val="center"/>
              <w:rPr>
                <w:sz w:val="20"/>
                <w:szCs w:val="20"/>
              </w:rPr>
            </w:pPr>
            <w:r w:rsidRPr="007B5308">
              <w:rPr>
                <w:sz w:val="20"/>
                <w:szCs w:val="20"/>
              </w:rPr>
              <w:t>447</w:t>
            </w:r>
          </w:p>
        </w:tc>
        <w:tc>
          <w:tcPr>
            <w:tcW w:w="6095" w:type="dxa"/>
          </w:tcPr>
          <w:p w14:paraId="1BBBAC28" w14:textId="77777777" w:rsidR="00912DD4" w:rsidRPr="007B5308" w:rsidRDefault="00912DD4" w:rsidP="0070500D">
            <w:pPr>
              <w:ind w:left="142"/>
              <w:rPr>
                <w:sz w:val="20"/>
                <w:szCs w:val="20"/>
              </w:rPr>
            </w:pPr>
            <w:r w:rsidRPr="007B5308">
              <w:rPr>
                <w:sz w:val="20"/>
                <w:szCs w:val="20"/>
              </w:rPr>
              <w:t>London Pension Fund Authority</w:t>
            </w:r>
          </w:p>
          <w:p w14:paraId="09C8489C" w14:textId="77777777" w:rsidR="00912DD4" w:rsidRPr="007B5308" w:rsidRDefault="00912DD4" w:rsidP="0070500D">
            <w:pPr>
              <w:ind w:left="142"/>
              <w:rPr>
                <w:sz w:val="20"/>
                <w:szCs w:val="20"/>
              </w:rPr>
            </w:pPr>
            <w:r w:rsidRPr="007B5308">
              <w:rPr>
                <w:sz w:val="20"/>
                <w:szCs w:val="20"/>
              </w:rPr>
              <w:t xml:space="preserve">169 Union Street, London, SE1 0LL </w:t>
            </w:r>
            <w:hyperlink r:id="rId5" w:history="1">
              <w:r w:rsidRPr="007B5308">
                <w:rPr>
                  <w:rStyle w:val="Hyperlink"/>
                  <w:rFonts w:eastAsiaTheme="majorEastAsia"/>
                  <w:sz w:val="20"/>
                  <w:szCs w:val="20"/>
                </w:rPr>
                <w:t>www.lpfa.org.uk</w:t>
              </w:r>
            </w:hyperlink>
            <w:r w:rsidRPr="007B5308">
              <w:rPr>
                <w:sz w:val="20"/>
                <w:szCs w:val="20"/>
              </w:rPr>
              <w:t xml:space="preserve"> </w:t>
            </w:r>
          </w:p>
        </w:tc>
        <w:tc>
          <w:tcPr>
            <w:tcW w:w="1134" w:type="dxa"/>
          </w:tcPr>
          <w:p w14:paraId="6396467C" w14:textId="77777777" w:rsidR="00912DD4" w:rsidRPr="007B5308" w:rsidRDefault="00912DD4" w:rsidP="0070500D">
            <w:pPr>
              <w:ind w:left="142"/>
              <w:jc w:val="center"/>
              <w:rPr>
                <w:sz w:val="20"/>
                <w:szCs w:val="20"/>
              </w:rPr>
            </w:pPr>
            <w:r w:rsidRPr="007B5308">
              <w:rPr>
                <w:sz w:val="20"/>
                <w:szCs w:val="20"/>
              </w:rPr>
              <w:t>4</w:t>
            </w:r>
            <w:r>
              <w:rPr>
                <w:sz w:val="20"/>
                <w:szCs w:val="20"/>
              </w:rPr>
              <w:t>28</w:t>
            </w:r>
          </w:p>
        </w:tc>
        <w:tc>
          <w:tcPr>
            <w:tcW w:w="1701" w:type="dxa"/>
          </w:tcPr>
          <w:p w14:paraId="171AFDA2" w14:textId="77777777" w:rsidR="00912DD4" w:rsidRPr="007B5308" w:rsidRDefault="00912DD4" w:rsidP="0070500D">
            <w:pPr>
              <w:ind w:left="142"/>
              <w:jc w:val="center"/>
              <w:rPr>
                <w:sz w:val="20"/>
                <w:szCs w:val="20"/>
              </w:rPr>
            </w:pPr>
            <w:r>
              <w:rPr>
                <w:sz w:val="20"/>
                <w:szCs w:val="20"/>
              </w:rPr>
              <w:t>3.11</w:t>
            </w:r>
          </w:p>
        </w:tc>
      </w:tr>
      <w:tr w:rsidR="00912DD4" w:rsidRPr="00634828" w14:paraId="74EF344A" w14:textId="77777777" w:rsidTr="0070500D">
        <w:trPr>
          <w:trHeight w:val="589"/>
        </w:trPr>
        <w:tc>
          <w:tcPr>
            <w:tcW w:w="1276" w:type="dxa"/>
          </w:tcPr>
          <w:p w14:paraId="498F5453" w14:textId="77777777" w:rsidR="00912DD4" w:rsidRPr="007B5308" w:rsidRDefault="00912DD4" w:rsidP="0070500D">
            <w:pPr>
              <w:jc w:val="center"/>
              <w:rPr>
                <w:sz w:val="20"/>
                <w:szCs w:val="20"/>
              </w:rPr>
            </w:pPr>
            <w:r w:rsidRPr="007B5308">
              <w:rPr>
                <w:sz w:val="20"/>
                <w:szCs w:val="20"/>
              </w:rPr>
              <w:lastRenderedPageBreak/>
              <w:t>248</w:t>
            </w:r>
          </w:p>
        </w:tc>
        <w:tc>
          <w:tcPr>
            <w:tcW w:w="6095" w:type="dxa"/>
          </w:tcPr>
          <w:p w14:paraId="1AA2CCA5" w14:textId="77777777" w:rsidR="00912DD4" w:rsidRPr="007B5308" w:rsidRDefault="00912DD4" w:rsidP="0070500D">
            <w:pPr>
              <w:ind w:left="142"/>
              <w:rPr>
                <w:sz w:val="20"/>
                <w:szCs w:val="20"/>
              </w:rPr>
            </w:pPr>
            <w:r w:rsidRPr="007B5308">
              <w:rPr>
                <w:sz w:val="20"/>
                <w:szCs w:val="20"/>
              </w:rPr>
              <w:t>London Borough’s Grants Committee</w:t>
            </w:r>
          </w:p>
          <w:p w14:paraId="7291A8BC" w14:textId="77777777" w:rsidR="00912DD4" w:rsidRPr="007B5308" w:rsidRDefault="00912DD4" w:rsidP="0070500D">
            <w:pPr>
              <w:ind w:left="142"/>
              <w:rPr>
                <w:sz w:val="20"/>
                <w:szCs w:val="20"/>
              </w:rPr>
            </w:pPr>
            <w:r w:rsidRPr="007B5308">
              <w:rPr>
                <w:sz w:val="20"/>
                <w:szCs w:val="20"/>
              </w:rPr>
              <w:t>London Councils,59 ½  Southwark Street, London, SE1 0AL</w:t>
            </w:r>
          </w:p>
          <w:p w14:paraId="5903297C" w14:textId="77777777" w:rsidR="00912DD4" w:rsidRPr="007B5308" w:rsidRDefault="00912DD4" w:rsidP="0070500D">
            <w:pPr>
              <w:ind w:left="142"/>
              <w:rPr>
                <w:sz w:val="20"/>
                <w:szCs w:val="20"/>
              </w:rPr>
            </w:pPr>
            <w:r w:rsidRPr="007B5308">
              <w:rPr>
                <w:sz w:val="20"/>
                <w:szCs w:val="20"/>
              </w:rPr>
              <w:t xml:space="preserve">020 7934 9999 </w:t>
            </w:r>
            <w:hyperlink r:id="rId6" w:history="1">
              <w:r w:rsidRPr="007B5308">
                <w:rPr>
                  <w:rStyle w:val="Hyperlink"/>
                  <w:rFonts w:eastAsiaTheme="majorEastAsia"/>
                  <w:sz w:val="20"/>
                  <w:szCs w:val="20"/>
                </w:rPr>
                <w:t>www.londoncouncils.gov.uk</w:t>
              </w:r>
            </w:hyperlink>
            <w:r w:rsidRPr="007B5308">
              <w:rPr>
                <w:sz w:val="20"/>
                <w:szCs w:val="20"/>
              </w:rPr>
              <w:t xml:space="preserve"> </w:t>
            </w:r>
          </w:p>
        </w:tc>
        <w:tc>
          <w:tcPr>
            <w:tcW w:w="1134" w:type="dxa"/>
          </w:tcPr>
          <w:p w14:paraId="695B572E" w14:textId="77777777" w:rsidR="00912DD4" w:rsidRPr="007B5308" w:rsidRDefault="00912DD4" w:rsidP="0070500D">
            <w:pPr>
              <w:ind w:left="142"/>
              <w:jc w:val="center"/>
              <w:rPr>
                <w:sz w:val="20"/>
                <w:szCs w:val="20"/>
              </w:rPr>
            </w:pPr>
            <w:r w:rsidRPr="007B5308">
              <w:rPr>
                <w:sz w:val="20"/>
                <w:szCs w:val="20"/>
              </w:rPr>
              <w:t>248</w:t>
            </w:r>
          </w:p>
        </w:tc>
        <w:tc>
          <w:tcPr>
            <w:tcW w:w="1701" w:type="dxa"/>
          </w:tcPr>
          <w:p w14:paraId="702C7772" w14:textId="77777777" w:rsidR="00912DD4" w:rsidRPr="007B5308" w:rsidRDefault="00912DD4" w:rsidP="0070500D">
            <w:pPr>
              <w:ind w:left="142"/>
              <w:jc w:val="center"/>
              <w:rPr>
                <w:sz w:val="20"/>
                <w:szCs w:val="20"/>
              </w:rPr>
            </w:pPr>
            <w:r>
              <w:rPr>
                <w:sz w:val="20"/>
                <w:szCs w:val="20"/>
              </w:rPr>
              <w:t>1.80</w:t>
            </w:r>
          </w:p>
        </w:tc>
      </w:tr>
      <w:tr w:rsidR="00912DD4" w:rsidRPr="00634828" w14:paraId="652E876F" w14:textId="77777777" w:rsidTr="0070500D">
        <w:tc>
          <w:tcPr>
            <w:tcW w:w="1276" w:type="dxa"/>
          </w:tcPr>
          <w:p w14:paraId="17B60008" w14:textId="77777777" w:rsidR="00912DD4" w:rsidRPr="007B5308" w:rsidRDefault="00912DD4" w:rsidP="0070500D">
            <w:pPr>
              <w:jc w:val="center"/>
              <w:rPr>
                <w:sz w:val="20"/>
                <w:szCs w:val="20"/>
              </w:rPr>
            </w:pPr>
            <w:r w:rsidRPr="007B5308">
              <w:rPr>
                <w:sz w:val="20"/>
                <w:szCs w:val="20"/>
              </w:rPr>
              <w:t>270</w:t>
            </w:r>
          </w:p>
        </w:tc>
        <w:tc>
          <w:tcPr>
            <w:tcW w:w="6095" w:type="dxa"/>
          </w:tcPr>
          <w:p w14:paraId="3C2C0434" w14:textId="77777777" w:rsidR="00912DD4" w:rsidRPr="007B5308" w:rsidRDefault="00912DD4" w:rsidP="0070500D">
            <w:pPr>
              <w:ind w:left="142"/>
              <w:rPr>
                <w:sz w:val="20"/>
                <w:szCs w:val="20"/>
              </w:rPr>
            </w:pPr>
            <w:r w:rsidRPr="007B5308">
              <w:rPr>
                <w:sz w:val="20"/>
                <w:szCs w:val="20"/>
              </w:rPr>
              <w:t>Environment Agency</w:t>
            </w:r>
          </w:p>
          <w:p w14:paraId="7FAA1BCC" w14:textId="77777777" w:rsidR="00912DD4" w:rsidRPr="007B5308" w:rsidRDefault="00912DD4" w:rsidP="0070500D">
            <w:pPr>
              <w:ind w:left="142"/>
              <w:rPr>
                <w:sz w:val="20"/>
                <w:szCs w:val="20"/>
              </w:rPr>
            </w:pPr>
            <w:r w:rsidRPr="007B5308">
              <w:rPr>
                <w:sz w:val="20"/>
                <w:szCs w:val="20"/>
              </w:rPr>
              <w:t xml:space="preserve">National Customer Contact Centre, PO Box 544, Rotherham S60 1BY </w:t>
            </w:r>
          </w:p>
        </w:tc>
        <w:tc>
          <w:tcPr>
            <w:tcW w:w="1134" w:type="dxa"/>
          </w:tcPr>
          <w:p w14:paraId="3BF96A4E" w14:textId="77777777" w:rsidR="00912DD4" w:rsidRPr="007B5308" w:rsidRDefault="00912DD4" w:rsidP="0070500D">
            <w:pPr>
              <w:ind w:left="142"/>
              <w:jc w:val="center"/>
              <w:rPr>
                <w:sz w:val="20"/>
                <w:szCs w:val="20"/>
              </w:rPr>
            </w:pPr>
            <w:r w:rsidRPr="007B5308">
              <w:rPr>
                <w:sz w:val="20"/>
                <w:szCs w:val="20"/>
              </w:rPr>
              <w:t>27</w:t>
            </w:r>
            <w:r>
              <w:rPr>
                <w:sz w:val="20"/>
                <w:szCs w:val="20"/>
              </w:rPr>
              <w:t>6</w:t>
            </w:r>
          </w:p>
        </w:tc>
        <w:tc>
          <w:tcPr>
            <w:tcW w:w="1701" w:type="dxa"/>
          </w:tcPr>
          <w:p w14:paraId="6A6FFC4A" w14:textId="77777777" w:rsidR="00912DD4" w:rsidRPr="007B5308" w:rsidRDefault="00912DD4" w:rsidP="0070500D">
            <w:pPr>
              <w:ind w:left="142"/>
              <w:jc w:val="center"/>
              <w:rPr>
                <w:sz w:val="20"/>
                <w:szCs w:val="20"/>
              </w:rPr>
            </w:pPr>
            <w:r>
              <w:rPr>
                <w:sz w:val="20"/>
                <w:szCs w:val="20"/>
              </w:rPr>
              <w:t>2.01</w:t>
            </w:r>
          </w:p>
        </w:tc>
      </w:tr>
      <w:tr w:rsidR="00912DD4" w:rsidRPr="00634828" w14:paraId="4B6D9C37" w14:textId="77777777" w:rsidTr="0070500D">
        <w:tc>
          <w:tcPr>
            <w:tcW w:w="1276" w:type="dxa"/>
          </w:tcPr>
          <w:p w14:paraId="450EA463" w14:textId="77777777" w:rsidR="00912DD4" w:rsidRPr="007B5308" w:rsidRDefault="00912DD4" w:rsidP="0070500D">
            <w:pPr>
              <w:jc w:val="center"/>
              <w:rPr>
                <w:sz w:val="20"/>
                <w:szCs w:val="20"/>
              </w:rPr>
            </w:pPr>
            <w:r w:rsidRPr="007B5308">
              <w:rPr>
                <w:sz w:val="20"/>
                <w:szCs w:val="20"/>
              </w:rPr>
              <w:t>350</w:t>
            </w:r>
          </w:p>
        </w:tc>
        <w:tc>
          <w:tcPr>
            <w:tcW w:w="6095" w:type="dxa"/>
          </w:tcPr>
          <w:p w14:paraId="5DC5357E" w14:textId="77777777" w:rsidR="00912DD4" w:rsidRPr="007B5308" w:rsidRDefault="00912DD4" w:rsidP="0070500D">
            <w:pPr>
              <w:ind w:left="142"/>
              <w:rPr>
                <w:sz w:val="20"/>
                <w:szCs w:val="20"/>
              </w:rPr>
            </w:pPr>
            <w:r w:rsidRPr="007B5308">
              <w:rPr>
                <w:sz w:val="20"/>
                <w:szCs w:val="20"/>
              </w:rPr>
              <w:t>Lee Valley Regional Park</w:t>
            </w:r>
          </w:p>
          <w:p w14:paraId="71A20035" w14:textId="77777777" w:rsidR="00912DD4" w:rsidRPr="007B5308" w:rsidRDefault="00912DD4" w:rsidP="0070500D">
            <w:pPr>
              <w:ind w:left="142"/>
              <w:rPr>
                <w:sz w:val="20"/>
                <w:szCs w:val="20"/>
              </w:rPr>
            </w:pPr>
            <w:r w:rsidRPr="007B5308">
              <w:rPr>
                <w:sz w:val="20"/>
                <w:szCs w:val="20"/>
              </w:rPr>
              <w:t xml:space="preserve">Information Service, Myddelton House, Bulls Cross, Enfield, EN2 9HG </w:t>
            </w:r>
            <w:hyperlink r:id="rId7" w:history="1">
              <w:r w:rsidRPr="007B5308">
                <w:rPr>
                  <w:rStyle w:val="Hyperlink"/>
                  <w:rFonts w:eastAsiaTheme="majorEastAsia"/>
                  <w:sz w:val="20"/>
                  <w:szCs w:val="20"/>
                </w:rPr>
                <w:t>www.leevalleypark.org.uk</w:t>
              </w:r>
            </w:hyperlink>
            <w:r w:rsidRPr="007B5308">
              <w:rPr>
                <w:sz w:val="20"/>
                <w:szCs w:val="20"/>
              </w:rPr>
              <w:t xml:space="preserve"> </w:t>
            </w:r>
          </w:p>
        </w:tc>
        <w:tc>
          <w:tcPr>
            <w:tcW w:w="1134" w:type="dxa"/>
          </w:tcPr>
          <w:p w14:paraId="6EEEDE7F" w14:textId="77777777" w:rsidR="00912DD4" w:rsidRPr="007B5308" w:rsidRDefault="00912DD4" w:rsidP="0070500D">
            <w:pPr>
              <w:ind w:left="142"/>
              <w:jc w:val="center"/>
              <w:rPr>
                <w:sz w:val="20"/>
                <w:szCs w:val="20"/>
              </w:rPr>
            </w:pPr>
            <w:r w:rsidRPr="007B5308">
              <w:rPr>
                <w:sz w:val="20"/>
                <w:szCs w:val="20"/>
              </w:rPr>
              <w:t>35</w:t>
            </w:r>
            <w:r>
              <w:rPr>
                <w:sz w:val="20"/>
                <w:szCs w:val="20"/>
              </w:rPr>
              <w:t>9</w:t>
            </w:r>
          </w:p>
        </w:tc>
        <w:tc>
          <w:tcPr>
            <w:tcW w:w="1701" w:type="dxa"/>
          </w:tcPr>
          <w:p w14:paraId="5CDAA80B" w14:textId="77777777" w:rsidR="00912DD4" w:rsidRPr="007B5308" w:rsidRDefault="00912DD4" w:rsidP="0070500D">
            <w:pPr>
              <w:ind w:left="142"/>
              <w:jc w:val="center"/>
              <w:rPr>
                <w:sz w:val="20"/>
                <w:szCs w:val="20"/>
              </w:rPr>
            </w:pPr>
            <w:r>
              <w:rPr>
                <w:sz w:val="20"/>
                <w:szCs w:val="20"/>
              </w:rPr>
              <w:t>2.61</w:t>
            </w:r>
          </w:p>
        </w:tc>
      </w:tr>
      <w:tr w:rsidR="00912DD4" w:rsidRPr="00A14808" w14:paraId="379EF4AD" w14:textId="77777777" w:rsidTr="0070500D">
        <w:tc>
          <w:tcPr>
            <w:tcW w:w="1276" w:type="dxa"/>
          </w:tcPr>
          <w:p w14:paraId="470ECB3D" w14:textId="77777777" w:rsidR="00912DD4" w:rsidRPr="007B5308" w:rsidRDefault="00912DD4" w:rsidP="0070500D">
            <w:pPr>
              <w:jc w:val="center"/>
              <w:rPr>
                <w:b/>
                <w:sz w:val="20"/>
                <w:szCs w:val="20"/>
              </w:rPr>
            </w:pPr>
            <w:r w:rsidRPr="007B5308">
              <w:rPr>
                <w:b/>
                <w:sz w:val="20"/>
                <w:szCs w:val="20"/>
              </w:rPr>
              <w:t>1,315</w:t>
            </w:r>
          </w:p>
        </w:tc>
        <w:tc>
          <w:tcPr>
            <w:tcW w:w="6095" w:type="dxa"/>
          </w:tcPr>
          <w:p w14:paraId="1D97B429" w14:textId="77777777" w:rsidR="00912DD4" w:rsidRPr="007B5308" w:rsidRDefault="00912DD4" w:rsidP="0070500D">
            <w:pPr>
              <w:ind w:left="142"/>
              <w:rPr>
                <w:b/>
                <w:sz w:val="20"/>
                <w:szCs w:val="20"/>
              </w:rPr>
            </w:pPr>
          </w:p>
        </w:tc>
        <w:tc>
          <w:tcPr>
            <w:tcW w:w="1134" w:type="dxa"/>
          </w:tcPr>
          <w:p w14:paraId="5FE749EE" w14:textId="77777777" w:rsidR="00912DD4" w:rsidRPr="007B5308" w:rsidRDefault="00912DD4" w:rsidP="0070500D">
            <w:pPr>
              <w:ind w:left="142"/>
              <w:jc w:val="center"/>
              <w:rPr>
                <w:b/>
                <w:sz w:val="20"/>
                <w:szCs w:val="20"/>
              </w:rPr>
            </w:pPr>
            <w:r w:rsidRPr="007B5308">
              <w:rPr>
                <w:b/>
                <w:sz w:val="20"/>
                <w:szCs w:val="20"/>
              </w:rPr>
              <w:t>1,31</w:t>
            </w:r>
            <w:r>
              <w:rPr>
                <w:b/>
                <w:sz w:val="20"/>
                <w:szCs w:val="20"/>
              </w:rPr>
              <w:t>1</w:t>
            </w:r>
          </w:p>
        </w:tc>
        <w:tc>
          <w:tcPr>
            <w:tcW w:w="1701" w:type="dxa"/>
          </w:tcPr>
          <w:p w14:paraId="470C22C7" w14:textId="77777777" w:rsidR="00912DD4" w:rsidRPr="007B5308" w:rsidRDefault="00912DD4" w:rsidP="0070500D">
            <w:pPr>
              <w:ind w:left="142"/>
              <w:jc w:val="center"/>
              <w:rPr>
                <w:b/>
                <w:sz w:val="20"/>
                <w:szCs w:val="20"/>
              </w:rPr>
            </w:pPr>
            <w:r>
              <w:rPr>
                <w:b/>
                <w:sz w:val="20"/>
                <w:szCs w:val="20"/>
              </w:rPr>
              <w:t>9.53</w:t>
            </w:r>
          </w:p>
        </w:tc>
      </w:tr>
    </w:tbl>
    <w:p w14:paraId="681D5627" w14:textId="77777777" w:rsidR="00912DD4" w:rsidRDefault="00912DD4" w:rsidP="00912DD4">
      <w:pPr>
        <w:ind w:left="142"/>
      </w:pPr>
    </w:p>
    <w:p w14:paraId="487F170B" w14:textId="5C81FA57" w:rsidR="00912DD4" w:rsidRPr="00A221D6" w:rsidRDefault="00912DD4" w:rsidP="00912DD4">
      <w:pPr>
        <w:pStyle w:val="Heading1"/>
        <w:spacing w:before="0"/>
        <w:ind w:left="142"/>
        <w:rPr>
          <w:sz w:val="28"/>
        </w:rPr>
      </w:pPr>
      <w:bookmarkStart w:id="5" w:name="_Toc444695166"/>
      <w:r w:rsidRPr="00A221D6">
        <w:rPr>
          <w:sz w:val="28"/>
        </w:rPr>
        <w:t>Environment Agency</w:t>
      </w:r>
      <w:bookmarkEnd w:id="5"/>
    </w:p>
    <w:p w14:paraId="4EA3EB05" w14:textId="77777777" w:rsidR="00912DD4" w:rsidRPr="005F4126" w:rsidRDefault="00912DD4" w:rsidP="00912DD4">
      <w:pPr>
        <w:ind w:left="142"/>
      </w:pPr>
    </w:p>
    <w:p w14:paraId="017BF97C" w14:textId="77777777" w:rsidR="00912DD4" w:rsidRDefault="00912DD4" w:rsidP="00912DD4">
      <w:pPr>
        <w:ind w:left="142"/>
      </w:pPr>
      <w:r>
        <w:t>The Environment Agency is a levying body for its Flood and Coastal Erosion Risk Management Functions under the Flood and Water Management Act 2010 and the Environment Agency (Levies) (England and Wales) Regulations 2011.</w:t>
      </w:r>
    </w:p>
    <w:p w14:paraId="0C1EB549" w14:textId="77777777" w:rsidR="00912DD4" w:rsidRDefault="00912DD4" w:rsidP="00912DD4">
      <w:pPr>
        <w:ind w:left="142"/>
      </w:pPr>
    </w:p>
    <w:p w14:paraId="111D5D95" w14:textId="77777777" w:rsidR="00912DD4" w:rsidRDefault="00912DD4" w:rsidP="00912DD4">
      <w:pPr>
        <w:ind w:left="142"/>
      </w:pPr>
      <w:r>
        <w:rPr>
          <w:b/>
        </w:rPr>
        <w:t>Environment Agency Southern Region</w:t>
      </w:r>
    </w:p>
    <w:p w14:paraId="2E9BD49D" w14:textId="77777777" w:rsidR="00912DD4" w:rsidRDefault="00912DD4" w:rsidP="00912DD4">
      <w:pPr>
        <w:ind w:left="142"/>
      </w:pPr>
      <w:r>
        <w:t>The Environment Agency has powers in respect of flood and coastal erosion risk management for 3540 kilometres of main river and along tidal and sea defences in the area of the Southern Regional Flood and Coastal Committee.</w:t>
      </w:r>
    </w:p>
    <w:p w14:paraId="2B386510" w14:textId="77777777" w:rsidR="00912DD4" w:rsidRDefault="00912DD4" w:rsidP="00912DD4">
      <w:pPr>
        <w:ind w:left="142"/>
        <w:rPr>
          <w:rFonts w:ascii="Times New Roman" w:hAnsi="Times New Roman"/>
          <w:sz w:val="20"/>
          <w:szCs w:val="20"/>
        </w:rPr>
      </w:pPr>
      <w:r>
        <w:fldChar w:fldCharType="begin"/>
      </w:r>
      <w:r>
        <w:instrText xml:space="preserve"> LINK Excel.Sheet.8 "\\\\lbb2000\\lbbdfs\\Users\\exeted01\\Council Tax\\2014-15\\Copy of Environment Agency Levies Final 2013-14 mock 2014-15.xls" Sheet1!R2C1:R7C3 \a \f 5 \h  \* MERGEFORMAT </w:instrText>
      </w:r>
      <w:r>
        <w:fldChar w:fldCharType="separate"/>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409"/>
        <w:gridCol w:w="3686"/>
      </w:tblGrid>
      <w:tr w:rsidR="00912DD4" w:rsidRPr="00ED10C0" w14:paraId="29F4FC7C" w14:textId="77777777" w:rsidTr="0070500D">
        <w:trPr>
          <w:trHeight w:val="354"/>
        </w:trPr>
        <w:tc>
          <w:tcPr>
            <w:tcW w:w="3119" w:type="dxa"/>
            <w:noWrap/>
            <w:hideMark/>
          </w:tcPr>
          <w:p w14:paraId="2D89E6BA" w14:textId="77777777" w:rsidR="00912DD4" w:rsidRPr="00ED10C0" w:rsidRDefault="00912DD4" w:rsidP="0070500D">
            <w:pPr>
              <w:ind w:left="142"/>
            </w:pPr>
            <w:r w:rsidRPr="00ED10C0">
              <w:t> </w:t>
            </w:r>
          </w:p>
        </w:tc>
        <w:tc>
          <w:tcPr>
            <w:tcW w:w="6095" w:type="dxa"/>
            <w:gridSpan w:val="2"/>
            <w:hideMark/>
          </w:tcPr>
          <w:p w14:paraId="1E65297A" w14:textId="77777777" w:rsidR="00912DD4" w:rsidRPr="00177D03" w:rsidRDefault="00912DD4" w:rsidP="0070500D">
            <w:pPr>
              <w:ind w:left="142"/>
              <w:rPr>
                <w:b/>
              </w:rPr>
            </w:pPr>
            <w:r w:rsidRPr="00177D03">
              <w:rPr>
                <w:b/>
              </w:rPr>
              <w:t>Southern Region Flood and Coastal Committee</w:t>
            </w:r>
          </w:p>
        </w:tc>
      </w:tr>
      <w:tr w:rsidR="00912DD4" w:rsidRPr="00ED10C0" w14:paraId="185A3407" w14:textId="77777777" w:rsidTr="0070500D">
        <w:trPr>
          <w:trHeight w:val="255"/>
        </w:trPr>
        <w:tc>
          <w:tcPr>
            <w:tcW w:w="3119" w:type="dxa"/>
            <w:noWrap/>
            <w:hideMark/>
          </w:tcPr>
          <w:p w14:paraId="3686E3FF" w14:textId="77777777" w:rsidR="00912DD4" w:rsidRPr="00ED10C0" w:rsidRDefault="00912DD4" w:rsidP="0070500D">
            <w:pPr>
              <w:ind w:left="142"/>
            </w:pPr>
            <w:r w:rsidRPr="00ED10C0">
              <w:t> </w:t>
            </w:r>
          </w:p>
        </w:tc>
        <w:tc>
          <w:tcPr>
            <w:tcW w:w="2409" w:type="dxa"/>
          </w:tcPr>
          <w:p w14:paraId="6FE57FA5" w14:textId="77777777" w:rsidR="00912DD4" w:rsidRPr="00ED10C0" w:rsidRDefault="00912DD4" w:rsidP="0070500D">
            <w:pPr>
              <w:ind w:left="142"/>
              <w:jc w:val="right"/>
            </w:pPr>
            <w:r>
              <w:t>2024/25</w:t>
            </w:r>
          </w:p>
        </w:tc>
        <w:tc>
          <w:tcPr>
            <w:tcW w:w="3686" w:type="dxa"/>
          </w:tcPr>
          <w:p w14:paraId="525EC28B" w14:textId="77777777" w:rsidR="00912DD4" w:rsidRPr="00ED10C0" w:rsidRDefault="00912DD4" w:rsidP="0070500D">
            <w:pPr>
              <w:ind w:left="142"/>
              <w:jc w:val="right"/>
            </w:pPr>
            <w:r>
              <w:t>2025/26</w:t>
            </w:r>
          </w:p>
        </w:tc>
      </w:tr>
      <w:tr w:rsidR="00912DD4" w:rsidRPr="00ED10C0" w14:paraId="17ED147A" w14:textId="77777777" w:rsidTr="0070500D">
        <w:trPr>
          <w:trHeight w:val="255"/>
        </w:trPr>
        <w:tc>
          <w:tcPr>
            <w:tcW w:w="3119" w:type="dxa"/>
            <w:noWrap/>
            <w:hideMark/>
          </w:tcPr>
          <w:p w14:paraId="578AA8BD" w14:textId="77777777" w:rsidR="00912DD4" w:rsidRPr="00ED10C0" w:rsidRDefault="00912DD4" w:rsidP="0070500D">
            <w:pPr>
              <w:ind w:left="142"/>
            </w:pPr>
            <w:r w:rsidRPr="00ED10C0">
              <w:t> </w:t>
            </w:r>
          </w:p>
        </w:tc>
        <w:tc>
          <w:tcPr>
            <w:tcW w:w="2409" w:type="dxa"/>
            <w:noWrap/>
          </w:tcPr>
          <w:p w14:paraId="7D783D56" w14:textId="77777777" w:rsidR="00912DD4" w:rsidRPr="00ED10C0" w:rsidRDefault="00912DD4" w:rsidP="0070500D">
            <w:pPr>
              <w:ind w:left="142"/>
              <w:jc w:val="right"/>
            </w:pPr>
            <w:r w:rsidRPr="00A6646E">
              <w:t>000s</w:t>
            </w:r>
          </w:p>
        </w:tc>
        <w:tc>
          <w:tcPr>
            <w:tcW w:w="3686" w:type="dxa"/>
            <w:noWrap/>
          </w:tcPr>
          <w:p w14:paraId="08D614EA" w14:textId="77777777" w:rsidR="00912DD4" w:rsidRPr="00A6646E" w:rsidRDefault="00912DD4" w:rsidP="0070500D">
            <w:pPr>
              <w:ind w:left="142"/>
              <w:jc w:val="right"/>
            </w:pPr>
            <w:r>
              <w:t>000s</w:t>
            </w:r>
          </w:p>
        </w:tc>
      </w:tr>
      <w:tr w:rsidR="00912DD4" w:rsidRPr="00ED10C0" w14:paraId="194B9AD8" w14:textId="77777777" w:rsidTr="0070500D">
        <w:trPr>
          <w:trHeight w:val="255"/>
        </w:trPr>
        <w:tc>
          <w:tcPr>
            <w:tcW w:w="3119" w:type="dxa"/>
            <w:noWrap/>
            <w:hideMark/>
          </w:tcPr>
          <w:p w14:paraId="7D373A06" w14:textId="77777777" w:rsidR="00912DD4" w:rsidRPr="00ED10C0" w:rsidRDefault="00912DD4" w:rsidP="0070500D">
            <w:pPr>
              <w:ind w:left="142"/>
            </w:pPr>
            <w:r w:rsidRPr="00ED10C0">
              <w:t>Gross Expenditure</w:t>
            </w:r>
          </w:p>
        </w:tc>
        <w:tc>
          <w:tcPr>
            <w:tcW w:w="2409" w:type="dxa"/>
            <w:noWrap/>
          </w:tcPr>
          <w:p w14:paraId="4AB9F0BD" w14:textId="77777777" w:rsidR="00912DD4" w:rsidRPr="00ED10C0" w:rsidRDefault="00912DD4" w:rsidP="0070500D">
            <w:pPr>
              <w:ind w:left="142"/>
              <w:jc w:val="right"/>
            </w:pPr>
            <w:r w:rsidRPr="00A6646E">
              <w:t>£1</w:t>
            </w:r>
            <w:r>
              <w:t>14</w:t>
            </w:r>
            <w:r w:rsidRPr="00A6646E">
              <w:t>,</w:t>
            </w:r>
            <w:r>
              <w:t>288</w:t>
            </w:r>
          </w:p>
        </w:tc>
        <w:tc>
          <w:tcPr>
            <w:tcW w:w="3686" w:type="dxa"/>
            <w:noWrap/>
          </w:tcPr>
          <w:p w14:paraId="5A55668A" w14:textId="77777777" w:rsidR="00912DD4" w:rsidRPr="00A6646E" w:rsidRDefault="00912DD4" w:rsidP="0070500D">
            <w:pPr>
              <w:ind w:left="142"/>
              <w:jc w:val="right"/>
            </w:pPr>
            <w:r>
              <w:t>£112,978</w:t>
            </w:r>
          </w:p>
        </w:tc>
      </w:tr>
      <w:tr w:rsidR="00912DD4" w:rsidRPr="00ED10C0" w14:paraId="72D79CF7" w14:textId="77777777" w:rsidTr="0070500D">
        <w:trPr>
          <w:trHeight w:val="255"/>
        </w:trPr>
        <w:tc>
          <w:tcPr>
            <w:tcW w:w="3119" w:type="dxa"/>
            <w:noWrap/>
            <w:hideMark/>
          </w:tcPr>
          <w:p w14:paraId="04801ABA" w14:textId="77777777" w:rsidR="00912DD4" w:rsidRPr="00ED10C0" w:rsidRDefault="00912DD4" w:rsidP="0070500D">
            <w:pPr>
              <w:ind w:left="142"/>
            </w:pPr>
            <w:r w:rsidRPr="00ED10C0">
              <w:t>Levies Raised</w:t>
            </w:r>
          </w:p>
        </w:tc>
        <w:tc>
          <w:tcPr>
            <w:tcW w:w="2409" w:type="dxa"/>
            <w:noWrap/>
          </w:tcPr>
          <w:p w14:paraId="418E0545" w14:textId="77777777" w:rsidR="00912DD4" w:rsidRPr="00ED10C0" w:rsidRDefault="00912DD4" w:rsidP="0070500D">
            <w:pPr>
              <w:ind w:left="142"/>
              <w:jc w:val="right"/>
            </w:pPr>
            <w:r w:rsidRPr="005D55B5">
              <w:t>£1,</w:t>
            </w:r>
            <w:r>
              <w:t>642</w:t>
            </w:r>
          </w:p>
        </w:tc>
        <w:tc>
          <w:tcPr>
            <w:tcW w:w="3686" w:type="dxa"/>
            <w:noWrap/>
          </w:tcPr>
          <w:p w14:paraId="006D0EA6" w14:textId="77777777" w:rsidR="00912DD4" w:rsidRPr="005D55B5" w:rsidRDefault="00912DD4" w:rsidP="0070500D">
            <w:pPr>
              <w:ind w:left="142"/>
              <w:jc w:val="right"/>
            </w:pPr>
            <w:r>
              <w:t>£1,691</w:t>
            </w:r>
          </w:p>
        </w:tc>
      </w:tr>
      <w:tr w:rsidR="00912DD4" w:rsidRPr="00ED10C0" w14:paraId="5BE7A3EF" w14:textId="77777777" w:rsidTr="0070500D">
        <w:trPr>
          <w:trHeight w:val="255"/>
        </w:trPr>
        <w:tc>
          <w:tcPr>
            <w:tcW w:w="3119" w:type="dxa"/>
            <w:noWrap/>
            <w:hideMark/>
          </w:tcPr>
          <w:p w14:paraId="54ADA571" w14:textId="77777777" w:rsidR="00912DD4" w:rsidRPr="00ED10C0" w:rsidRDefault="00912DD4" w:rsidP="0070500D">
            <w:pPr>
              <w:ind w:left="142"/>
            </w:pPr>
            <w:r w:rsidRPr="00ED10C0">
              <w:t>Total Council Tax Base</w:t>
            </w:r>
          </w:p>
        </w:tc>
        <w:tc>
          <w:tcPr>
            <w:tcW w:w="2409" w:type="dxa"/>
            <w:noWrap/>
          </w:tcPr>
          <w:p w14:paraId="24B0D338" w14:textId="77777777" w:rsidR="00912DD4" w:rsidRPr="00ED10C0" w:rsidRDefault="00912DD4" w:rsidP="0070500D">
            <w:pPr>
              <w:ind w:left="142"/>
              <w:jc w:val="right"/>
            </w:pPr>
            <w:r w:rsidRPr="005D55B5">
              <w:t>1</w:t>
            </w:r>
            <w:r>
              <w:t>935</w:t>
            </w:r>
          </w:p>
        </w:tc>
        <w:tc>
          <w:tcPr>
            <w:tcW w:w="3686" w:type="dxa"/>
            <w:noWrap/>
          </w:tcPr>
          <w:p w14:paraId="2EA3C5CA" w14:textId="77777777" w:rsidR="00912DD4" w:rsidRPr="005D55B5" w:rsidRDefault="00912DD4" w:rsidP="0070500D">
            <w:pPr>
              <w:ind w:left="142"/>
              <w:jc w:val="right"/>
            </w:pPr>
            <w:r>
              <w:t>1,966</w:t>
            </w:r>
          </w:p>
        </w:tc>
      </w:tr>
    </w:tbl>
    <w:p w14:paraId="6088E196" w14:textId="77777777" w:rsidR="00912DD4" w:rsidRDefault="00912DD4" w:rsidP="00912DD4">
      <w:pPr>
        <w:ind w:left="142"/>
      </w:pPr>
      <w:r>
        <w:fldChar w:fldCharType="end"/>
      </w:r>
    </w:p>
    <w:p w14:paraId="7E43288E" w14:textId="77777777" w:rsidR="00912DD4" w:rsidRDefault="00912DD4" w:rsidP="00912DD4">
      <w:pPr>
        <w:ind w:left="142"/>
      </w:pPr>
    </w:p>
    <w:p w14:paraId="7177D375" w14:textId="77777777" w:rsidR="00912DD4" w:rsidRDefault="00912DD4" w:rsidP="00912DD4">
      <w:pPr>
        <w:ind w:left="142"/>
        <w:rPr>
          <w:b/>
        </w:rPr>
      </w:pPr>
      <w:r>
        <w:rPr>
          <w:b/>
        </w:rPr>
        <w:t>Environment Agency Thames Region</w:t>
      </w:r>
    </w:p>
    <w:p w14:paraId="1CF823B8" w14:textId="77777777" w:rsidR="00912DD4" w:rsidRDefault="00912DD4" w:rsidP="00912DD4">
      <w:pPr>
        <w:ind w:left="142"/>
      </w:pPr>
      <w:r>
        <w:t>The Environment Agency has powers in respect of flood and coastal erosion risk management for 5200 kilometres of main river and along tidal and sea defences in the area of the Thames Regional Flood and Coastal Committee.</w:t>
      </w:r>
    </w:p>
    <w:p w14:paraId="767F1931" w14:textId="77777777" w:rsidR="00912DD4" w:rsidRDefault="00912DD4" w:rsidP="00912DD4">
      <w:pPr>
        <w:ind w:left="142"/>
        <w:rPr>
          <w:rFonts w:ascii="Times New Roman" w:hAnsi="Times New Roman"/>
          <w:sz w:val="20"/>
          <w:szCs w:val="20"/>
        </w:rPr>
      </w:pPr>
      <w:r>
        <w:fldChar w:fldCharType="begin"/>
      </w:r>
      <w:r>
        <w:instrText xml:space="preserve"> LINK Excel.Sheet.8 "\\\\lbb2000\\lbbdfs\\Users\\exeted01\\Council Tax\\2014-15\\Copy of Environment Agency Levies Final 2013-14 mock 2014-15.xls" Sheet1!R10C1:R15C3 \a \f 5 \h  \* MERGEFORMAT </w:instrText>
      </w:r>
      <w:r>
        <w:fldChar w:fldCharType="separate"/>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409"/>
        <w:gridCol w:w="3686"/>
      </w:tblGrid>
      <w:tr w:rsidR="00912DD4" w:rsidRPr="00ED10C0" w14:paraId="4A10895F" w14:textId="77777777" w:rsidTr="0070500D">
        <w:trPr>
          <w:trHeight w:val="350"/>
        </w:trPr>
        <w:tc>
          <w:tcPr>
            <w:tcW w:w="3119" w:type="dxa"/>
            <w:noWrap/>
            <w:hideMark/>
          </w:tcPr>
          <w:p w14:paraId="04F6545B" w14:textId="77777777" w:rsidR="00912DD4" w:rsidRPr="00ED10C0" w:rsidRDefault="00912DD4" w:rsidP="0070500D">
            <w:pPr>
              <w:ind w:left="142"/>
            </w:pPr>
            <w:r w:rsidRPr="00ED10C0">
              <w:t> </w:t>
            </w:r>
          </w:p>
        </w:tc>
        <w:tc>
          <w:tcPr>
            <w:tcW w:w="6095" w:type="dxa"/>
            <w:gridSpan w:val="2"/>
            <w:hideMark/>
          </w:tcPr>
          <w:p w14:paraId="790EDBBB" w14:textId="77777777" w:rsidR="00912DD4" w:rsidRPr="00177D03" w:rsidRDefault="00912DD4" w:rsidP="0070500D">
            <w:pPr>
              <w:ind w:left="142"/>
              <w:rPr>
                <w:b/>
              </w:rPr>
            </w:pPr>
            <w:r w:rsidRPr="00177D03">
              <w:rPr>
                <w:b/>
              </w:rPr>
              <w:t>Thames Region Flood and Coastal Committee</w:t>
            </w:r>
          </w:p>
        </w:tc>
      </w:tr>
      <w:tr w:rsidR="00912DD4" w:rsidRPr="00ED10C0" w14:paraId="37B9707D" w14:textId="77777777" w:rsidTr="0070500D">
        <w:trPr>
          <w:trHeight w:val="255"/>
        </w:trPr>
        <w:tc>
          <w:tcPr>
            <w:tcW w:w="3119" w:type="dxa"/>
            <w:noWrap/>
            <w:hideMark/>
          </w:tcPr>
          <w:p w14:paraId="7772E5D6" w14:textId="77777777" w:rsidR="00912DD4" w:rsidRPr="00ED10C0" w:rsidRDefault="00912DD4" w:rsidP="0070500D">
            <w:pPr>
              <w:ind w:left="142"/>
            </w:pPr>
            <w:r w:rsidRPr="00ED10C0">
              <w:t> </w:t>
            </w:r>
          </w:p>
        </w:tc>
        <w:tc>
          <w:tcPr>
            <w:tcW w:w="2409" w:type="dxa"/>
          </w:tcPr>
          <w:p w14:paraId="0DE84B44" w14:textId="77777777" w:rsidR="00912DD4" w:rsidRPr="00ED10C0" w:rsidRDefault="00912DD4" w:rsidP="0070500D">
            <w:pPr>
              <w:tabs>
                <w:tab w:val="center" w:pos="1167"/>
                <w:tab w:val="right" w:pos="2193"/>
              </w:tabs>
              <w:ind w:left="142"/>
              <w:jc w:val="right"/>
            </w:pPr>
            <w:r>
              <w:t>2024/25</w:t>
            </w:r>
          </w:p>
        </w:tc>
        <w:tc>
          <w:tcPr>
            <w:tcW w:w="3686" w:type="dxa"/>
          </w:tcPr>
          <w:p w14:paraId="239C2162" w14:textId="77777777" w:rsidR="00912DD4" w:rsidRPr="00ED10C0" w:rsidRDefault="00912DD4" w:rsidP="0070500D">
            <w:pPr>
              <w:ind w:left="142"/>
              <w:jc w:val="right"/>
            </w:pPr>
            <w:r>
              <w:t>2025/26</w:t>
            </w:r>
          </w:p>
        </w:tc>
      </w:tr>
      <w:tr w:rsidR="00912DD4" w:rsidRPr="00ED10C0" w14:paraId="4C6C08D6" w14:textId="77777777" w:rsidTr="0070500D">
        <w:trPr>
          <w:trHeight w:val="255"/>
        </w:trPr>
        <w:tc>
          <w:tcPr>
            <w:tcW w:w="3119" w:type="dxa"/>
            <w:noWrap/>
            <w:hideMark/>
          </w:tcPr>
          <w:p w14:paraId="601D349D" w14:textId="77777777" w:rsidR="00912DD4" w:rsidRPr="00ED10C0" w:rsidRDefault="00912DD4" w:rsidP="0070500D">
            <w:pPr>
              <w:ind w:left="142"/>
            </w:pPr>
            <w:r w:rsidRPr="00ED10C0">
              <w:t> </w:t>
            </w:r>
          </w:p>
        </w:tc>
        <w:tc>
          <w:tcPr>
            <w:tcW w:w="2409" w:type="dxa"/>
            <w:noWrap/>
          </w:tcPr>
          <w:p w14:paraId="5B7856A1" w14:textId="77777777" w:rsidR="00912DD4" w:rsidRPr="00ED10C0" w:rsidRDefault="00912DD4" w:rsidP="0070500D">
            <w:pPr>
              <w:ind w:left="142"/>
              <w:jc w:val="right"/>
            </w:pPr>
            <w:r w:rsidRPr="00ED10C0">
              <w:t>000s</w:t>
            </w:r>
          </w:p>
        </w:tc>
        <w:tc>
          <w:tcPr>
            <w:tcW w:w="3686" w:type="dxa"/>
            <w:noWrap/>
          </w:tcPr>
          <w:p w14:paraId="32A05866" w14:textId="77777777" w:rsidR="00912DD4" w:rsidRPr="00ED10C0" w:rsidRDefault="00912DD4" w:rsidP="0070500D">
            <w:pPr>
              <w:ind w:left="142"/>
              <w:jc w:val="right"/>
            </w:pPr>
            <w:r>
              <w:t>000s</w:t>
            </w:r>
          </w:p>
        </w:tc>
      </w:tr>
      <w:tr w:rsidR="00912DD4" w:rsidRPr="00ED10C0" w14:paraId="0D1DA6BB" w14:textId="77777777" w:rsidTr="0070500D">
        <w:trPr>
          <w:trHeight w:val="255"/>
        </w:trPr>
        <w:tc>
          <w:tcPr>
            <w:tcW w:w="3119" w:type="dxa"/>
            <w:noWrap/>
            <w:hideMark/>
          </w:tcPr>
          <w:p w14:paraId="679BD407" w14:textId="77777777" w:rsidR="00912DD4" w:rsidRPr="00ED10C0" w:rsidRDefault="00912DD4" w:rsidP="0070500D">
            <w:pPr>
              <w:ind w:left="142"/>
            </w:pPr>
            <w:r w:rsidRPr="00ED10C0">
              <w:t>Gross Expenditure</w:t>
            </w:r>
          </w:p>
        </w:tc>
        <w:tc>
          <w:tcPr>
            <w:tcW w:w="2409" w:type="dxa"/>
            <w:noWrap/>
          </w:tcPr>
          <w:p w14:paraId="60220C06" w14:textId="77777777" w:rsidR="00912DD4" w:rsidRPr="00ED10C0" w:rsidRDefault="00912DD4" w:rsidP="0070500D">
            <w:pPr>
              <w:ind w:left="142"/>
              <w:jc w:val="right"/>
            </w:pPr>
            <w:r>
              <w:t>£154,702</w:t>
            </w:r>
          </w:p>
        </w:tc>
        <w:tc>
          <w:tcPr>
            <w:tcW w:w="3686" w:type="dxa"/>
            <w:noWrap/>
          </w:tcPr>
          <w:p w14:paraId="15342936" w14:textId="77777777" w:rsidR="00912DD4" w:rsidRPr="00ED10C0" w:rsidRDefault="00912DD4" w:rsidP="0070500D">
            <w:pPr>
              <w:ind w:left="142"/>
              <w:jc w:val="right"/>
            </w:pPr>
            <w:r>
              <w:t>£126,785</w:t>
            </w:r>
          </w:p>
        </w:tc>
      </w:tr>
      <w:tr w:rsidR="00912DD4" w:rsidRPr="00ED10C0" w14:paraId="59E1912A" w14:textId="77777777" w:rsidTr="0070500D">
        <w:trPr>
          <w:trHeight w:val="255"/>
        </w:trPr>
        <w:tc>
          <w:tcPr>
            <w:tcW w:w="3119" w:type="dxa"/>
            <w:noWrap/>
            <w:hideMark/>
          </w:tcPr>
          <w:p w14:paraId="45920A8E" w14:textId="77777777" w:rsidR="00912DD4" w:rsidRPr="00ED10C0" w:rsidRDefault="00912DD4" w:rsidP="0070500D">
            <w:pPr>
              <w:ind w:left="142"/>
            </w:pPr>
            <w:r w:rsidRPr="00ED10C0">
              <w:t>Levies Raised</w:t>
            </w:r>
          </w:p>
        </w:tc>
        <w:tc>
          <w:tcPr>
            <w:tcW w:w="2409" w:type="dxa"/>
            <w:noWrap/>
          </w:tcPr>
          <w:p w14:paraId="0EABD363" w14:textId="77777777" w:rsidR="00912DD4" w:rsidRPr="00ED10C0" w:rsidRDefault="00912DD4" w:rsidP="0070500D">
            <w:pPr>
              <w:ind w:left="142"/>
              <w:jc w:val="right"/>
            </w:pPr>
            <w:r>
              <w:t>£12,776</w:t>
            </w:r>
          </w:p>
        </w:tc>
        <w:tc>
          <w:tcPr>
            <w:tcW w:w="3686" w:type="dxa"/>
            <w:noWrap/>
          </w:tcPr>
          <w:p w14:paraId="70D942B8" w14:textId="77777777" w:rsidR="00912DD4" w:rsidRPr="00ED10C0" w:rsidRDefault="00912DD4" w:rsidP="0070500D">
            <w:pPr>
              <w:ind w:left="142"/>
              <w:jc w:val="right"/>
            </w:pPr>
            <w:r>
              <w:t>£13,030</w:t>
            </w:r>
          </w:p>
        </w:tc>
      </w:tr>
      <w:tr w:rsidR="00912DD4" w:rsidRPr="00ED10C0" w14:paraId="7BDF2F31" w14:textId="77777777" w:rsidTr="0070500D">
        <w:trPr>
          <w:trHeight w:val="255"/>
        </w:trPr>
        <w:tc>
          <w:tcPr>
            <w:tcW w:w="3119" w:type="dxa"/>
            <w:noWrap/>
            <w:hideMark/>
          </w:tcPr>
          <w:p w14:paraId="3D8AF012" w14:textId="77777777" w:rsidR="00912DD4" w:rsidRPr="00ED10C0" w:rsidRDefault="00912DD4" w:rsidP="0070500D">
            <w:pPr>
              <w:ind w:left="142"/>
            </w:pPr>
            <w:r w:rsidRPr="00ED10C0">
              <w:t>Total Council Tax Base</w:t>
            </w:r>
          </w:p>
        </w:tc>
        <w:tc>
          <w:tcPr>
            <w:tcW w:w="2409" w:type="dxa"/>
            <w:noWrap/>
          </w:tcPr>
          <w:p w14:paraId="1628A707" w14:textId="77777777" w:rsidR="00912DD4" w:rsidRPr="00ED10C0" w:rsidRDefault="00912DD4" w:rsidP="0070500D">
            <w:pPr>
              <w:ind w:left="142"/>
              <w:jc w:val="right"/>
            </w:pPr>
            <w:r>
              <w:t>5,365</w:t>
            </w:r>
          </w:p>
        </w:tc>
        <w:tc>
          <w:tcPr>
            <w:tcW w:w="3686" w:type="dxa"/>
            <w:noWrap/>
          </w:tcPr>
          <w:p w14:paraId="309C6BC5" w14:textId="77777777" w:rsidR="00912DD4" w:rsidRPr="00ED10C0" w:rsidRDefault="00912DD4" w:rsidP="0070500D">
            <w:pPr>
              <w:ind w:left="142"/>
              <w:jc w:val="right"/>
            </w:pPr>
            <w:r>
              <w:t>5,453</w:t>
            </w:r>
          </w:p>
        </w:tc>
      </w:tr>
    </w:tbl>
    <w:p w14:paraId="3C2267B5" w14:textId="77777777" w:rsidR="00912DD4" w:rsidRDefault="00912DD4" w:rsidP="00912DD4">
      <w:pPr>
        <w:ind w:left="142"/>
      </w:pPr>
      <w:r>
        <w:fldChar w:fldCharType="end"/>
      </w:r>
    </w:p>
    <w:p w14:paraId="0EF15CCE" w14:textId="77777777" w:rsidR="00912DD4" w:rsidRDefault="00912DD4" w:rsidP="00912DD4">
      <w:pPr>
        <w:ind w:left="142"/>
      </w:pPr>
    </w:p>
    <w:p w14:paraId="4043B2D8" w14:textId="77777777" w:rsidR="00912DD4" w:rsidRDefault="00912DD4" w:rsidP="00866495"/>
    <w:sectPr w:rsidR="00912DD4" w:rsidSect="008664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95"/>
    <w:rsid w:val="00132E38"/>
    <w:rsid w:val="001B2970"/>
    <w:rsid w:val="005B54D7"/>
    <w:rsid w:val="006A658D"/>
    <w:rsid w:val="00727316"/>
    <w:rsid w:val="00866495"/>
    <w:rsid w:val="0089384D"/>
    <w:rsid w:val="00912DD4"/>
    <w:rsid w:val="009508A5"/>
    <w:rsid w:val="009870B5"/>
    <w:rsid w:val="009A39F9"/>
    <w:rsid w:val="00A2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891F"/>
  <w15:chartTrackingRefBased/>
  <w15:docId w15:val="{3E45529E-37D1-49DE-9691-75C05155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495"/>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866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4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4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4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4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495"/>
    <w:rPr>
      <w:rFonts w:eastAsiaTheme="majorEastAsia" w:cstheme="majorBidi"/>
      <w:color w:val="272727" w:themeColor="text1" w:themeTint="D8"/>
    </w:rPr>
  </w:style>
  <w:style w:type="paragraph" w:styleId="Title">
    <w:name w:val="Title"/>
    <w:basedOn w:val="Normal"/>
    <w:next w:val="Normal"/>
    <w:link w:val="TitleChar"/>
    <w:uiPriority w:val="10"/>
    <w:qFormat/>
    <w:rsid w:val="008664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495"/>
    <w:pPr>
      <w:spacing w:before="160"/>
      <w:jc w:val="center"/>
    </w:pPr>
    <w:rPr>
      <w:i/>
      <w:iCs/>
      <w:color w:val="404040" w:themeColor="text1" w:themeTint="BF"/>
    </w:rPr>
  </w:style>
  <w:style w:type="character" w:customStyle="1" w:styleId="QuoteChar">
    <w:name w:val="Quote Char"/>
    <w:basedOn w:val="DefaultParagraphFont"/>
    <w:link w:val="Quote"/>
    <w:uiPriority w:val="29"/>
    <w:rsid w:val="00866495"/>
    <w:rPr>
      <w:i/>
      <w:iCs/>
      <w:color w:val="404040" w:themeColor="text1" w:themeTint="BF"/>
    </w:rPr>
  </w:style>
  <w:style w:type="paragraph" w:styleId="ListParagraph">
    <w:name w:val="List Paragraph"/>
    <w:basedOn w:val="Normal"/>
    <w:uiPriority w:val="34"/>
    <w:qFormat/>
    <w:rsid w:val="00866495"/>
    <w:pPr>
      <w:ind w:left="720"/>
      <w:contextualSpacing/>
    </w:pPr>
  </w:style>
  <w:style w:type="character" w:styleId="IntenseEmphasis">
    <w:name w:val="Intense Emphasis"/>
    <w:basedOn w:val="DefaultParagraphFont"/>
    <w:uiPriority w:val="21"/>
    <w:qFormat/>
    <w:rsid w:val="00866495"/>
    <w:rPr>
      <w:i/>
      <w:iCs/>
      <w:color w:val="0F4761" w:themeColor="accent1" w:themeShade="BF"/>
    </w:rPr>
  </w:style>
  <w:style w:type="paragraph" w:styleId="IntenseQuote">
    <w:name w:val="Intense Quote"/>
    <w:basedOn w:val="Normal"/>
    <w:next w:val="Normal"/>
    <w:link w:val="IntenseQuoteChar"/>
    <w:uiPriority w:val="30"/>
    <w:qFormat/>
    <w:rsid w:val="00866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495"/>
    <w:rPr>
      <w:i/>
      <w:iCs/>
      <w:color w:val="0F4761" w:themeColor="accent1" w:themeShade="BF"/>
    </w:rPr>
  </w:style>
  <w:style w:type="character" w:styleId="IntenseReference">
    <w:name w:val="Intense Reference"/>
    <w:basedOn w:val="DefaultParagraphFont"/>
    <w:uiPriority w:val="32"/>
    <w:qFormat/>
    <w:rsid w:val="00866495"/>
    <w:rPr>
      <w:b/>
      <w:bCs/>
      <w:smallCaps/>
      <w:color w:val="0F4761" w:themeColor="accent1" w:themeShade="BF"/>
      <w:spacing w:val="5"/>
    </w:rPr>
  </w:style>
  <w:style w:type="character" w:styleId="Hyperlink">
    <w:name w:val="Hyperlink"/>
    <w:uiPriority w:val="99"/>
    <w:rsid w:val="008664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evalleypark.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ndoncouncils.gov.uk" TargetMode="External"/><Relationship Id="rId5" Type="http://schemas.openxmlformats.org/officeDocument/2006/relationships/hyperlink" Target="http://www.lpfa.org.uk" TargetMode="External"/><Relationship Id="rId4" Type="http://schemas.openxmlformats.org/officeDocument/2006/relationships/hyperlink" Target="http://www.voa.gov.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Jayne</dc:creator>
  <cp:keywords/>
  <dc:description/>
  <cp:lastModifiedBy>Mancktelow, James</cp:lastModifiedBy>
  <cp:revision>2</cp:revision>
  <dcterms:created xsi:type="dcterms:W3CDTF">2025-03-10T11:58:00Z</dcterms:created>
  <dcterms:modified xsi:type="dcterms:W3CDTF">2025-03-10T11:58:00Z</dcterms:modified>
</cp:coreProperties>
</file>