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8FE2" w14:textId="77777777" w:rsidR="004C531C" w:rsidRDefault="00037B97" w:rsidP="00037B97">
      <w:pPr>
        <w:jc w:val="right"/>
      </w:pPr>
      <w:r>
        <w:rPr>
          <w:noProof/>
        </w:rPr>
        <w:drawing>
          <wp:inline distT="0" distB="0" distL="0" distR="0" wp14:anchorId="595790AE" wp14:editId="595790AF">
            <wp:extent cx="1626870" cy="988695"/>
            <wp:effectExtent l="0" t="0" r="0" b="1905"/>
            <wp:docPr id="1" name="Picture 1" descr="103_artwork10.gif (4072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3_artwork10.gif (4072 bytes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78FE3" w14:textId="77777777" w:rsidR="004C531C" w:rsidRDefault="004C531C" w:rsidP="00037B97">
      <w:pPr>
        <w:jc w:val="right"/>
      </w:pPr>
    </w:p>
    <w:p w14:paraId="59578FE4" w14:textId="77777777" w:rsidR="00A16857" w:rsidRPr="00037B97" w:rsidRDefault="00A16857" w:rsidP="00956247">
      <w:pPr>
        <w:rPr>
          <w:b/>
        </w:rPr>
      </w:pPr>
      <w:r w:rsidRPr="00037B97">
        <w:rPr>
          <w:b/>
        </w:rPr>
        <w:t>How the Adult Social Care precept is calculated:</w:t>
      </w:r>
    </w:p>
    <w:p w14:paraId="59578FE5" w14:textId="77777777" w:rsidR="00A16857" w:rsidRDefault="00A16857" w:rsidP="00956247"/>
    <w:p w14:paraId="59578FE6" w14:textId="45952102" w:rsidR="00A640FC" w:rsidRPr="00E86309" w:rsidRDefault="00A640FC" w:rsidP="00956247">
      <w:pPr>
        <w:rPr>
          <w:sz w:val="22"/>
          <w:szCs w:val="22"/>
        </w:rPr>
      </w:pPr>
      <w:r w:rsidRPr="00E86309">
        <w:rPr>
          <w:sz w:val="22"/>
          <w:szCs w:val="22"/>
        </w:rPr>
        <w:t xml:space="preserve">Your Council </w:t>
      </w:r>
      <w:r w:rsidR="00D94A0D">
        <w:rPr>
          <w:sz w:val="22"/>
          <w:szCs w:val="22"/>
        </w:rPr>
        <w:t>T</w:t>
      </w:r>
      <w:r w:rsidRPr="00E86309">
        <w:rPr>
          <w:sz w:val="22"/>
          <w:szCs w:val="22"/>
        </w:rPr>
        <w:t>ax bill is in a prescribed format required by Government. The Council has raised concerns that the presentation of the Adult Social Care precept can be confusing</w:t>
      </w:r>
      <w:r w:rsidR="002E2A7B" w:rsidRPr="00E86309">
        <w:rPr>
          <w:sz w:val="22"/>
          <w:szCs w:val="22"/>
        </w:rPr>
        <w:t>. The</w:t>
      </w:r>
      <w:r w:rsidRPr="00E86309">
        <w:rPr>
          <w:sz w:val="22"/>
          <w:szCs w:val="22"/>
        </w:rPr>
        <w:t xml:space="preserve"> information below is designed to explain how the increases are calculated. </w:t>
      </w:r>
    </w:p>
    <w:p w14:paraId="59578FE7" w14:textId="77777777" w:rsidR="00A640FC" w:rsidRPr="00E86309" w:rsidRDefault="00A640FC" w:rsidP="00956247">
      <w:pPr>
        <w:rPr>
          <w:sz w:val="22"/>
          <w:szCs w:val="22"/>
        </w:rPr>
      </w:pPr>
    </w:p>
    <w:p w14:paraId="59578FE8" w14:textId="08518668" w:rsidR="00240F33" w:rsidRPr="00E86309" w:rsidRDefault="002F673A" w:rsidP="00956247">
      <w:pPr>
        <w:rPr>
          <w:sz w:val="22"/>
          <w:szCs w:val="22"/>
        </w:rPr>
      </w:pPr>
      <w:r w:rsidRPr="00E86309">
        <w:rPr>
          <w:sz w:val="22"/>
          <w:szCs w:val="22"/>
        </w:rPr>
        <w:t>The Adult Social Care (ASC) precept increase for 20</w:t>
      </w:r>
      <w:r w:rsidR="000D190A" w:rsidRPr="00E86309">
        <w:rPr>
          <w:sz w:val="22"/>
          <w:szCs w:val="22"/>
        </w:rPr>
        <w:t>2</w:t>
      </w:r>
      <w:r w:rsidR="004A43F4">
        <w:rPr>
          <w:sz w:val="22"/>
          <w:szCs w:val="22"/>
        </w:rPr>
        <w:t xml:space="preserve">4/25 </w:t>
      </w:r>
      <w:r w:rsidR="00240F33" w:rsidRPr="00E86309">
        <w:rPr>
          <w:sz w:val="22"/>
          <w:szCs w:val="22"/>
        </w:rPr>
        <w:t xml:space="preserve">is </w:t>
      </w:r>
      <w:r w:rsidR="00CF0AE2">
        <w:rPr>
          <w:sz w:val="22"/>
          <w:szCs w:val="22"/>
        </w:rPr>
        <w:t>2</w:t>
      </w:r>
      <w:r w:rsidR="00240F33" w:rsidRPr="00E86309">
        <w:rPr>
          <w:sz w:val="22"/>
          <w:szCs w:val="22"/>
        </w:rPr>
        <w:t>%. The ASC precept increase for 20</w:t>
      </w:r>
      <w:r w:rsidR="00BB6EB0" w:rsidRPr="00E86309">
        <w:rPr>
          <w:sz w:val="22"/>
          <w:szCs w:val="22"/>
        </w:rPr>
        <w:t>2</w:t>
      </w:r>
      <w:r w:rsidR="004A43F4">
        <w:rPr>
          <w:sz w:val="22"/>
          <w:szCs w:val="22"/>
        </w:rPr>
        <w:t>4</w:t>
      </w:r>
      <w:r w:rsidR="00240F33" w:rsidRPr="00E86309">
        <w:rPr>
          <w:sz w:val="22"/>
          <w:szCs w:val="22"/>
        </w:rPr>
        <w:t>/</w:t>
      </w:r>
      <w:r w:rsidR="0028515B">
        <w:rPr>
          <w:sz w:val="22"/>
          <w:szCs w:val="22"/>
        </w:rPr>
        <w:t>2</w:t>
      </w:r>
      <w:r w:rsidR="004A43F4">
        <w:rPr>
          <w:sz w:val="22"/>
          <w:szCs w:val="22"/>
        </w:rPr>
        <w:t>5</w:t>
      </w:r>
      <w:r w:rsidR="0007206D" w:rsidRPr="00E86309">
        <w:rPr>
          <w:sz w:val="22"/>
          <w:szCs w:val="22"/>
        </w:rPr>
        <w:t xml:space="preserve"> </w:t>
      </w:r>
      <w:r w:rsidR="00240F33" w:rsidRPr="00E86309">
        <w:rPr>
          <w:sz w:val="22"/>
          <w:szCs w:val="22"/>
        </w:rPr>
        <w:t xml:space="preserve">is </w:t>
      </w:r>
      <w:r w:rsidR="00572F67">
        <w:rPr>
          <w:sz w:val="22"/>
          <w:szCs w:val="22"/>
        </w:rPr>
        <w:t>2</w:t>
      </w:r>
      <w:r w:rsidRPr="00E86309">
        <w:rPr>
          <w:sz w:val="22"/>
          <w:szCs w:val="22"/>
        </w:rPr>
        <w:t xml:space="preserve">% of the combined Bromley element </w:t>
      </w:r>
      <w:r w:rsidR="00DE1FD3" w:rsidRPr="00E86309">
        <w:rPr>
          <w:sz w:val="22"/>
          <w:szCs w:val="22"/>
        </w:rPr>
        <w:t xml:space="preserve">only </w:t>
      </w:r>
      <w:r w:rsidRPr="00E86309">
        <w:rPr>
          <w:sz w:val="22"/>
          <w:szCs w:val="22"/>
        </w:rPr>
        <w:t>for 20</w:t>
      </w:r>
      <w:r w:rsidR="0028515B">
        <w:rPr>
          <w:sz w:val="22"/>
          <w:szCs w:val="22"/>
        </w:rPr>
        <w:t>2</w:t>
      </w:r>
      <w:r w:rsidR="004A43F4">
        <w:rPr>
          <w:sz w:val="22"/>
          <w:szCs w:val="22"/>
        </w:rPr>
        <w:t>3</w:t>
      </w:r>
      <w:r w:rsidRPr="00E86309">
        <w:rPr>
          <w:sz w:val="22"/>
          <w:szCs w:val="22"/>
        </w:rPr>
        <w:t>/</w:t>
      </w:r>
      <w:r w:rsidR="000A0276" w:rsidRPr="00E86309">
        <w:rPr>
          <w:sz w:val="22"/>
          <w:szCs w:val="22"/>
        </w:rPr>
        <w:t>2</w:t>
      </w:r>
      <w:r w:rsidR="004A43F4">
        <w:rPr>
          <w:sz w:val="22"/>
          <w:szCs w:val="22"/>
        </w:rPr>
        <w:t>4</w:t>
      </w:r>
      <w:r w:rsidR="007478A4" w:rsidRPr="00E86309">
        <w:rPr>
          <w:sz w:val="22"/>
          <w:szCs w:val="22"/>
        </w:rPr>
        <w:t xml:space="preserve"> </w:t>
      </w:r>
      <w:r w:rsidR="004A43F4" w:rsidRPr="00E86309">
        <w:rPr>
          <w:sz w:val="22"/>
          <w:szCs w:val="22"/>
        </w:rPr>
        <w:t>e.g.,</w:t>
      </w:r>
      <w:r w:rsidR="00240F33" w:rsidRPr="00E86309">
        <w:rPr>
          <w:sz w:val="22"/>
          <w:szCs w:val="22"/>
        </w:rPr>
        <w:t xml:space="preserve"> for properties in band D the </w:t>
      </w:r>
      <w:r w:rsidR="00D94A0D">
        <w:rPr>
          <w:sz w:val="22"/>
          <w:szCs w:val="22"/>
        </w:rPr>
        <w:t xml:space="preserve">combined </w:t>
      </w:r>
      <w:r w:rsidR="005157BE">
        <w:rPr>
          <w:sz w:val="22"/>
          <w:szCs w:val="22"/>
        </w:rPr>
        <w:t xml:space="preserve">Bromley element of the </w:t>
      </w:r>
      <w:r w:rsidR="00984C86" w:rsidRPr="00E86309">
        <w:rPr>
          <w:sz w:val="22"/>
          <w:szCs w:val="22"/>
        </w:rPr>
        <w:t>Council Tax for 20</w:t>
      </w:r>
      <w:r w:rsidR="0028515B">
        <w:rPr>
          <w:sz w:val="22"/>
          <w:szCs w:val="22"/>
        </w:rPr>
        <w:t>2</w:t>
      </w:r>
      <w:r w:rsidR="004A43F4">
        <w:rPr>
          <w:sz w:val="22"/>
          <w:szCs w:val="22"/>
        </w:rPr>
        <w:t>3</w:t>
      </w:r>
      <w:r w:rsidR="00381417">
        <w:rPr>
          <w:sz w:val="22"/>
          <w:szCs w:val="22"/>
        </w:rPr>
        <w:t>/2</w:t>
      </w:r>
      <w:r w:rsidR="004A43F4">
        <w:rPr>
          <w:sz w:val="22"/>
          <w:szCs w:val="22"/>
        </w:rPr>
        <w:t>4</w:t>
      </w:r>
      <w:r w:rsidR="00984C86" w:rsidRPr="00E86309">
        <w:rPr>
          <w:sz w:val="22"/>
          <w:szCs w:val="22"/>
        </w:rPr>
        <w:t xml:space="preserve"> was £1,</w:t>
      </w:r>
      <w:r w:rsidR="006A1B22">
        <w:rPr>
          <w:sz w:val="22"/>
          <w:szCs w:val="22"/>
        </w:rPr>
        <w:t>408.05</w:t>
      </w:r>
      <w:r w:rsidR="00112B81" w:rsidRPr="00E86309">
        <w:rPr>
          <w:sz w:val="22"/>
          <w:szCs w:val="22"/>
        </w:rPr>
        <w:t xml:space="preserve"> so </w:t>
      </w:r>
      <w:r w:rsidR="008E17C2">
        <w:rPr>
          <w:sz w:val="22"/>
          <w:szCs w:val="22"/>
        </w:rPr>
        <w:t>2</w:t>
      </w:r>
      <w:r w:rsidR="003B679A">
        <w:rPr>
          <w:sz w:val="22"/>
          <w:szCs w:val="22"/>
        </w:rPr>
        <w:t>%</w:t>
      </w:r>
      <w:r w:rsidR="00984C86" w:rsidRPr="00E86309">
        <w:rPr>
          <w:sz w:val="22"/>
          <w:szCs w:val="22"/>
        </w:rPr>
        <w:t xml:space="preserve"> of this </w:t>
      </w:r>
      <w:r w:rsidR="00240F33" w:rsidRPr="00E86309">
        <w:rPr>
          <w:sz w:val="22"/>
          <w:szCs w:val="22"/>
        </w:rPr>
        <w:t>is £</w:t>
      </w:r>
      <w:r w:rsidR="008E17C2">
        <w:rPr>
          <w:sz w:val="22"/>
          <w:szCs w:val="22"/>
        </w:rPr>
        <w:t>2</w:t>
      </w:r>
      <w:r w:rsidR="006A1B22">
        <w:rPr>
          <w:sz w:val="22"/>
          <w:szCs w:val="22"/>
        </w:rPr>
        <w:t>8</w:t>
      </w:r>
      <w:r w:rsidR="008E17C2">
        <w:rPr>
          <w:sz w:val="22"/>
          <w:szCs w:val="22"/>
        </w:rPr>
        <w:t>.</w:t>
      </w:r>
      <w:r w:rsidR="006A1B22">
        <w:rPr>
          <w:sz w:val="22"/>
          <w:szCs w:val="22"/>
        </w:rPr>
        <w:t>16</w:t>
      </w:r>
      <w:r w:rsidR="005E3641">
        <w:rPr>
          <w:sz w:val="22"/>
          <w:szCs w:val="22"/>
        </w:rPr>
        <w:t>.</w:t>
      </w:r>
    </w:p>
    <w:p w14:paraId="59578FE9" w14:textId="77777777" w:rsidR="00240F33" w:rsidRPr="00E86309" w:rsidRDefault="00240F33" w:rsidP="00956247">
      <w:pPr>
        <w:rPr>
          <w:sz w:val="22"/>
          <w:szCs w:val="22"/>
        </w:rPr>
      </w:pPr>
    </w:p>
    <w:p w14:paraId="59578FEA" w14:textId="7DF8EF7C" w:rsidR="002F673A" w:rsidRPr="00E86309" w:rsidRDefault="00240F33" w:rsidP="00956247">
      <w:pPr>
        <w:rPr>
          <w:sz w:val="22"/>
          <w:szCs w:val="22"/>
        </w:rPr>
      </w:pPr>
      <w:r w:rsidRPr="00E86309">
        <w:rPr>
          <w:sz w:val="22"/>
          <w:szCs w:val="22"/>
        </w:rPr>
        <w:t>The increase is then added to the ASC precept levied in 20</w:t>
      </w:r>
      <w:r w:rsidR="00956740">
        <w:rPr>
          <w:sz w:val="22"/>
          <w:szCs w:val="22"/>
        </w:rPr>
        <w:t>2</w:t>
      </w:r>
      <w:r w:rsidR="005E3641">
        <w:rPr>
          <w:sz w:val="22"/>
          <w:szCs w:val="22"/>
        </w:rPr>
        <w:t>3</w:t>
      </w:r>
      <w:r w:rsidRPr="00E86309">
        <w:rPr>
          <w:sz w:val="22"/>
          <w:szCs w:val="22"/>
        </w:rPr>
        <w:t>/</w:t>
      </w:r>
      <w:r w:rsidR="00587612" w:rsidRPr="00E86309">
        <w:rPr>
          <w:sz w:val="22"/>
          <w:szCs w:val="22"/>
        </w:rPr>
        <w:t>2</w:t>
      </w:r>
      <w:r w:rsidR="005E3641">
        <w:rPr>
          <w:sz w:val="22"/>
          <w:szCs w:val="22"/>
        </w:rPr>
        <w:t>4</w:t>
      </w:r>
      <w:r w:rsidRPr="00E86309">
        <w:rPr>
          <w:sz w:val="22"/>
          <w:szCs w:val="22"/>
        </w:rPr>
        <w:t xml:space="preserve"> to make the ASC precept for 20</w:t>
      </w:r>
      <w:r w:rsidR="00587612" w:rsidRPr="00E86309">
        <w:rPr>
          <w:sz w:val="22"/>
          <w:szCs w:val="22"/>
        </w:rPr>
        <w:t>2</w:t>
      </w:r>
      <w:r w:rsidR="005E3641">
        <w:rPr>
          <w:sz w:val="22"/>
          <w:szCs w:val="22"/>
        </w:rPr>
        <w:t>4</w:t>
      </w:r>
      <w:r w:rsidRPr="00E86309">
        <w:rPr>
          <w:sz w:val="22"/>
          <w:szCs w:val="22"/>
        </w:rPr>
        <w:t>/</w:t>
      </w:r>
      <w:r w:rsidR="006B400E" w:rsidRPr="00E86309">
        <w:rPr>
          <w:sz w:val="22"/>
          <w:szCs w:val="22"/>
        </w:rPr>
        <w:t>2</w:t>
      </w:r>
      <w:r w:rsidR="005E3641">
        <w:rPr>
          <w:sz w:val="22"/>
          <w:szCs w:val="22"/>
        </w:rPr>
        <w:t>5</w:t>
      </w:r>
      <w:r w:rsidRPr="00E86309">
        <w:rPr>
          <w:sz w:val="22"/>
          <w:szCs w:val="22"/>
        </w:rPr>
        <w:t xml:space="preserve"> </w:t>
      </w:r>
      <w:proofErr w:type="gramStart"/>
      <w:r w:rsidRPr="00E86309">
        <w:rPr>
          <w:sz w:val="22"/>
          <w:szCs w:val="22"/>
        </w:rPr>
        <w:t>e.g.</w:t>
      </w:r>
      <w:proofErr w:type="gramEnd"/>
      <w:r w:rsidRPr="00E86309">
        <w:rPr>
          <w:sz w:val="22"/>
          <w:szCs w:val="22"/>
        </w:rPr>
        <w:t xml:space="preserve"> for properties in band D the ASC </w:t>
      </w:r>
      <w:r w:rsidR="00984C86" w:rsidRPr="00E86309">
        <w:rPr>
          <w:sz w:val="22"/>
          <w:szCs w:val="22"/>
        </w:rPr>
        <w:t>increase is £</w:t>
      </w:r>
      <w:r w:rsidR="004640DA">
        <w:rPr>
          <w:sz w:val="22"/>
          <w:szCs w:val="22"/>
        </w:rPr>
        <w:t>2</w:t>
      </w:r>
      <w:r w:rsidR="005B6A94">
        <w:rPr>
          <w:sz w:val="22"/>
          <w:szCs w:val="22"/>
        </w:rPr>
        <w:t>8</w:t>
      </w:r>
      <w:r w:rsidR="004640DA">
        <w:rPr>
          <w:sz w:val="22"/>
          <w:szCs w:val="22"/>
        </w:rPr>
        <w:t>.</w:t>
      </w:r>
      <w:r w:rsidR="005B6A94">
        <w:rPr>
          <w:sz w:val="22"/>
          <w:szCs w:val="22"/>
        </w:rPr>
        <w:t>16</w:t>
      </w:r>
      <w:r w:rsidR="00984C86" w:rsidRPr="00E86309">
        <w:rPr>
          <w:sz w:val="22"/>
          <w:szCs w:val="22"/>
        </w:rPr>
        <w:t xml:space="preserve"> which </w:t>
      </w:r>
      <w:r w:rsidR="00112B81" w:rsidRPr="00E86309">
        <w:rPr>
          <w:sz w:val="22"/>
          <w:szCs w:val="22"/>
        </w:rPr>
        <w:t xml:space="preserve">is </w:t>
      </w:r>
      <w:r w:rsidR="00984C86" w:rsidRPr="00E86309">
        <w:rPr>
          <w:sz w:val="22"/>
          <w:szCs w:val="22"/>
        </w:rPr>
        <w:t xml:space="preserve">then added to the ASC precept </w:t>
      </w:r>
      <w:r w:rsidRPr="00E86309">
        <w:rPr>
          <w:sz w:val="22"/>
          <w:szCs w:val="22"/>
        </w:rPr>
        <w:t xml:space="preserve">levied </w:t>
      </w:r>
      <w:r w:rsidR="00984C86" w:rsidRPr="00E86309">
        <w:rPr>
          <w:sz w:val="22"/>
          <w:szCs w:val="22"/>
        </w:rPr>
        <w:t>in 20</w:t>
      </w:r>
      <w:r w:rsidR="00D13722">
        <w:rPr>
          <w:sz w:val="22"/>
          <w:szCs w:val="22"/>
        </w:rPr>
        <w:t>2</w:t>
      </w:r>
      <w:r w:rsidR="005B6A94">
        <w:rPr>
          <w:sz w:val="22"/>
          <w:szCs w:val="22"/>
        </w:rPr>
        <w:t>3</w:t>
      </w:r>
      <w:r w:rsidR="00984C86" w:rsidRPr="00E86309">
        <w:rPr>
          <w:sz w:val="22"/>
          <w:szCs w:val="22"/>
        </w:rPr>
        <w:t>/</w:t>
      </w:r>
      <w:r w:rsidR="00587612" w:rsidRPr="00E86309">
        <w:rPr>
          <w:sz w:val="22"/>
          <w:szCs w:val="22"/>
        </w:rPr>
        <w:t>2</w:t>
      </w:r>
      <w:r w:rsidR="005B6A94">
        <w:rPr>
          <w:sz w:val="22"/>
          <w:szCs w:val="22"/>
        </w:rPr>
        <w:t>4</w:t>
      </w:r>
      <w:r w:rsidR="00984C86" w:rsidRPr="00E86309">
        <w:rPr>
          <w:sz w:val="22"/>
          <w:szCs w:val="22"/>
        </w:rPr>
        <w:t xml:space="preserve"> </w:t>
      </w:r>
      <w:r w:rsidR="00112B81" w:rsidRPr="00E86309">
        <w:rPr>
          <w:sz w:val="22"/>
          <w:szCs w:val="22"/>
        </w:rPr>
        <w:t xml:space="preserve">of </w:t>
      </w:r>
      <w:r w:rsidR="00984C86" w:rsidRPr="00E86309">
        <w:rPr>
          <w:sz w:val="22"/>
          <w:szCs w:val="22"/>
        </w:rPr>
        <w:t>£</w:t>
      </w:r>
      <w:r w:rsidR="00D13722">
        <w:rPr>
          <w:sz w:val="22"/>
          <w:szCs w:val="22"/>
        </w:rPr>
        <w:t>1</w:t>
      </w:r>
      <w:r w:rsidR="005B6A94">
        <w:rPr>
          <w:sz w:val="22"/>
          <w:szCs w:val="22"/>
        </w:rPr>
        <w:t>89.80</w:t>
      </w:r>
      <w:r w:rsidR="00984C86" w:rsidRPr="00E86309">
        <w:rPr>
          <w:sz w:val="22"/>
          <w:szCs w:val="22"/>
        </w:rPr>
        <w:t>. This makes the ASC precept for 20</w:t>
      </w:r>
      <w:r w:rsidR="006B400E" w:rsidRPr="00E86309">
        <w:rPr>
          <w:sz w:val="22"/>
          <w:szCs w:val="22"/>
        </w:rPr>
        <w:t>2</w:t>
      </w:r>
      <w:r w:rsidR="00062CF2">
        <w:rPr>
          <w:sz w:val="22"/>
          <w:szCs w:val="22"/>
        </w:rPr>
        <w:t>4</w:t>
      </w:r>
      <w:r w:rsidR="009D6D06" w:rsidRPr="00E86309">
        <w:rPr>
          <w:sz w:val="22"/>
          <w:szCs w:val="22"/>
        </w:rPr>
        <w:t>/2</w:t>
      </w:r>
      <w:r w:rsidR="00062CF2">
        <w:rPr>
          <w:sz w:val="22"/>
          <w:szCs w:val="22"/>
        </w:rPr>
        <w:t>5</w:t>
      </w:r>
      <w:r w:rsidR="00984C86" w:rsidRPr="00E86309">
        <w:rPr>
          <w:sz w:val="22"/>
          <w:szCs w:val="22"/>
        </w:rPr>
        <w:t xml:space="preserve"> £</w:t>
      </w:r>
      <w:r w:rsidR="00062CF2">
        <w:rPr>
          <w:sz w:val="22"/>
          <w:szCs w:val="22"/>
        </w:rPr>
        <w:t>21</w:t>
      </w:r>
      <w:r w:rsidR="00F705F3">
        <w:rPr>
          <w:sz w:val="22"/>
          <w:szCs w:val="22"/>
        </w:rPr>
        <w:t>7.96</w:t>
      </w:r>
      <w:r w:rsidR="00112B81" w:rsidRPr="00E86309">
        <w:rPr>
          <w:sz w:val="22"/>
          <w:szCs w:val="22"/>
        </w:rPr>
        <w:t xml:space="preserve"> (£</w:t>
      </w:r>
      <w:r w:rsidR="00364066">
        <w:rPr>
          <w:sz w:val="22"/>
          <w:szCs w:val="22"/>
        </w:rPr>
        <w:t>2</w:t>
      </w:r>
      <w:r w:rsidR="00062CF2">
        <w:rPr>
          <w:sz w:val="22"/>
          <w:szCs w:val="22"/>
        </w:rPr>
        <w:t>8</w:t>
      </w:r>
      <w:r w:rsidR="00364066">
        <w:rPr>
          <w:sz w:val="22"/>
          <w:szCs w:val="22"/>
        </w:rPr>
        <w:t>.</w:t>
      </w:r>
      <w:r w:rsidR="00062CF2">
        <w:rPr>
          <w:sz w:val="22"/>
          <w:szCs w:val="22"/>
        </w:rPr>
        <w:t>16</w:t>
      </w:r>
      <w:r w:rsidR="00112B81" w:rsidRPr="00E86309">
        <w:rPr>
          <w:sz w:val="22"/>
          <w:szCs w:val="22"/>
        </w:rPr>
        <w:t xml:space="preserve"> + £</w:t>
      </w:r>
      <w:r w:rsidR="007E6A21">
        <w:rPr>
          <w:sz w:val="22"/>
          <w:szCs w:val="22"/>
        </w:rPr>
        <w:t>1</w:t>
      </w:r>
      <w:r w:rsidR="00062CF2">
        <w:rPr>
          <w:sz w:val="22"/>
          <w:szCs w:val="22"/>
        </w:rPr>
        <w:t>89.80</w:t>
      </w:r>
      <w:r w:rsidR="00112B81" w:rsidRPr="00E86309">
        <w:rPr>
          <w:sz w:val="22"/>
          <w:szCs w:val="22"/>
        </w:rPr>
        <w:t>).</w:t>
      </w:r>
    </w:p>
    <w:p w14:paraId="59578FEB" w14:textId="77777777" w:rsidR="002F673A" w:rsidRPr="00E86309" w:rsidRDefault="002F673A" w:rsidP="00956247">
      <w:pPr>
        <w:rPr>
          <w:sz w:val="22"/>
          <w:szCs w:val="22"/>
        </w:rPr>
      </w:pPr>
    </w:p>
    <w:p w14:paraId="59578FEC" w14:textId="64D30FA3" w:rsidR="00A16857" w:rsidRPr="00E86309" w:rsidRDefault="00A16857" w:rsidP="00956247">
      <w:pPr>
        <w:rPr>
          <w:sz w:val="22"/>
          <w:szCs w:val="22"/>
        </w:rPr>
      </w:pPr>
      <w:r w:rsidRPr="00E86309">
        <w:rPr>
          <w:sz w:val="22"/>
          <w:szCs w:val="22"/>
        </w:rPr>
        <w:t xml:space="preserve">The table below shows how </w:t>
      </w:r>
      <w:r w:rsidR="00DD78FD" w:rsidRPr="00E86309">
        <w:rPr>
          <w:sz w:val="22"/>
          <w:szCs w:val="22"/>
        </w:rPr>
        <w:t xml:space="preserve">the </w:t>
      </w:r>
      <w:r w:rsidRPr="00E86309">
        <w:rPr>
          <w:sz w:val="22"/>
          <w:szCs w:val="22"/>
        </w:rPr>
        <w:t>A</w:t>
      </w:r>
      <w:r w:rsidR="00DD78FD" w:rsidRPr="00E86309">
        <w:rPr>
          <w:sz w:val="22"/>
          <w:szCs w:val="22"/>
        </w:rPr>
        <w:t>SC</w:t>
      </w:r>
      <w:r w:rsidRPr="00E86309">
        <w:rPr>
          <w:sz w:val="22"/>
          <w:szCs w:val="22"/>
        </w:rPr>
        <w:t xml:space="preserve"> precept increase for 20</w:t>
      </w:r>
      <w:r w:rsidR="009513A8" w:rsidRPr="00E86309">
        <w:rPr>
          <w:sz w:val="22"/>
          <w:szCs w:val="22"/>
        </w:rPr>
        <w:t>2</w:t>
      </w:r>
      <w:r w:rsidR="004211E7">
        <w:rPr>
          <w:sz w:val="22"/>
          <w:szCs w:val="22"/>
        </w:rPr>
        <w:t>4</w:t>
      </w:r>
      <w:r w:rsidRPr="00E86309">
        <w:rPr>
          <w:sz w:val="22"/>
          <w:szCs w:val="22"/>
        </w:rPr>
        <w:t>/</w:t>
      </w:r>
      <w:r w:rsidR="006B400E" w:rsidRPr="00E86309">
        <w:rPr>
          <w:sz w:val="22"/>
          <w:szCs w:val="22"/>
        </w:rPr>
        <w:t>2</w:t>
      </w:r>
      <w:r w:rsidR="004211E7">
        <w:rPr>
          <w:sz w:val="22"/>
          <w:szCs w:val="22"/>
        </w:rPr>
        <w:t>5</w:t>
      </w:r>
      <w:r w:rsidR="00DD78FD" w:rsidRPr="00E86309">
        <w:rPr>
          <w:sz w:val="22"/>
          <w:szCs w:val="22"/>
        </w:rPr>
        <w:t xml:space="preserve"> was calculated for all the valuation bands</w:t>
      </w:r>
      <w:r w:rsidRPr="00E86309">
        <w:rPr>
          <w:sz w:val="22"/>
          <w:szCs w:val="22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1036"/>
        <w:gridCol w:w="995"/>
        <w:gridCol w:w="995"/>
        <w:gridCol w:w="995"/>
        <w:gridCol w:w="995"/>
        <w:gridCol w:w="995"/>
        <w:gridCol w:w="995"/>
        <w:gridCol w:w="995"/>
        <w:gridCol w:w="1295"/>
      </w:tblGrid>
      <w:tr w:rsidR="009250DD" w:rsidRPr="00A16857" w14:paraId="59578FF0" w14:textId="77777777" w:rsidTr="003B7BB8">
        <w:trPr>
          <w:trHeight w:val="300"/>
          <w:jc w:val="center"/>
        </w:trPr>
        <w:tc>
          <w:tcPr>
            <w:tcW w:w="1827" w:type="dxa"/>
            <w:noWrap/>
            <w:hideMark/>
          </w:tcPr>
          <w:p w14:paraId="59578FED" w14:textId="77777777" w:rsidR="00A16857" w:rsidRPr="00A16857" w:rsidRDefault="00A16857">
            <w:r>
              <w:t xml:space="preserve"> </w:t>
            </w:r>
          </w:p>
        </w:tc>
        <w:tc>
          <w:tcPr>
            <w:tcW w:w="8001" w:type="dxa"/>
            <w:gridSpan w:val="8"/>
            <w:hideMark/>
          </w:tcPr>
          <w:p w14:paraId="59578FEE" w14:textId="77777777" w:rsidR="00A16857" w:rsidRPr="00A16857" w:rsidRDefault="00A16857" w:rsidP="00AD19DD">
            <w:pPr>
              <w:jc w:val="center"/>
              <w:rPr>
                <w:b/>
                <w:sz w:val="20"/>
                <w:szCs w:val="20"/>
              </w:rPr>
            </w:pPr>
            <w:r w:rsidRPr="00A16857">
              <w:rPr>
                <w:b/>
                <w:sz w:val="20"/>
                <w:szCs w:val="20"/>
              </w:rPr>
              <w:t xml:space="preserve">Valuation </w:t>
            </w:r>
            <w:r w:rsidR="00112B81">
              <w:rPr>
                <w:b/>
                <w:sz w:val="20"/>
                <w:szCs w:val="20"/>
              </w:rPr>
              <w:t>b</w:t>
            </w:r>
            <w:r w:rsidRPr="00A16857">
              <w:rPr>
                <w:b/>
                <w:sz w:val="20"/>
                <w:szCs w:val="20"/>
              </w:rPr>
              <w:t>ands</w:t>
            </w:r>
          </w:p>
        </w:tc>
        <w:tc>
          <w:tcPr>
            <w:tcW w:w="1295" w:type="dxa"/>
            <w:noWrap/>
            <w:hideMark/>
          </w:tcPr>
          <w:p w14:paraId="59578FEF" w14:textId="77777777" w:rsidR="00A16857" w:rsidRPr="00A16857" w:rsidRDefault="00A16857"/>
        </w:tc>
      </w:tr>
      <w:tr w:rsidR="009250DD" w:rsidRPr="00A16857" w14:paraId="59578FFB" w14:textId="77777777" w:rsidTr="003B7BB8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8FF1" w14:textId="77777777" w:rsidR="00A16857" w:rsidRPr="00A16857" w:rsidRDefault="00A16857" w:rsidP="00A16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14:paraId="59578FF2" w14:textId="77777777" w:rsidR="00A16857" w:rsidRPr="00A16857" w:rsidRDefault="00A16857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95" w:type="dxa"/>
            <w:hideMark/>
          </w:tcPr>
          <w:p w14:paraId="59578FF3" w14:textId="77777777" w:rsidR="00A16857" w:rsidRPr="00A16857" w:rsidRDefault="00A16857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95" w:type="dxa"/>
            <w:hideMark/>
          </w:tcPr>
          <w:p w14:paraId="59578FF4" w14:textId="77777777" w:rsidR="00A16857" w:rsidRPr="00A16857" w:rsidRDefault="00A16857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95" w:type="dxa"/>
            <w:hideMark/>
          </w:tcPr>
          <w:p w14:paraId="59578FF5" w14:textId="77777777" w:rsidR="00A16857" w:rsidRPr="00A16857" w:rsidRDefault="00A16857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95" w:type="dxa"/>
            <w:hideMark/>
          </w:tcPr>
          <w:p w14:paraId="59578FF6" w14:textId="77777777" w:rsidR="00A16857" w:rsidRPr="00A16857" w:rsidRDefault="00A16857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95" w:type="dxa"/>
            <w:hideMark/>
          </w:tcPr>
          <w:p w14:paraId="59578FF7" w14:textId="77777777" w:rsidR="00A16857" w:rsidRPr="00A16857" w:rsidRDefault="00A16857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95" w:type="dxa"/>
            <w:hideMark/>
          </w:tcPr>
          <w:p w14:paraId="59578FF8" w14:textId="77777777" w:rsidR="00A16857" w:rsidRPr="00A16857" w:rsidRDefault="00A16857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95" w:type="dxa"/>
            <w:hideMark/>
          </w:tcPr>
          <w:p w14:paraId="59578FF9" w14:textId="77777777" w:rsidR="00A16857" w:rsidRPr="00A16857" w:rsidRDefault="00A16857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295" w:type="dxa"/>
            <w:noWrap/>
            <w:hideMark/>
          </w:tcPr>
          <w:p w14:paraId="59578FFA" w14:textId="77777777" w:rsidR="00A16857" w:rsidRPr="00A16857" w:rsidRDefault="00A16857">
            <w:pPr>
              <w:rPr>
                <w:sz w:val="20"/>
                <w:szCs w:val="20"/>
              </w:rPr>
            </w:pPr>
          </w:p>
        </w:tc>
      </w:tr>
      <w:tr w:rsidR="009250DD" w:rsidRPr="00A16857" w14:paraId="59579007" w14:textId="77777777" w:rsidTr="003B7BB8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8FFC" w14:textId="77777777" w:rsidR="00A16857" w:rsidRPr="00A16857" w:rsidRDefault="00A16857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hideMark/>
          </w:tcPr>
          <w:p w14:paraId="59578FFD" w14:textId="77777777" w:rsidR="00A16857" w:rsidRPr="00A16857" w:rsidRDefault="00A16857" w:rsidP="000A6152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5" w:type="dxa"/>
            <w:hideMark/>
          </w:tcPr>
          <w:p w14:paraId="59578FFE" w14:textId="77777777" w:rsidR="00A16857" w:rsidRPr="00A16857" w:rsidRDefault="00A16857" w:rsidP="000A6152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5" w:type="dxa"/>
            <w:hideMark/>
          </w:tcPr>
          <w:p w14:paraId="59578FFF" w14:textId="77777777" w:rsidR="00A16857" w:rsidRPr="00A16857" w:rsidRDefault="00A16857" w:rsidP="000A6152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5" w:type="dxa"/>
            <w:hideMark/>
          </w:tcPr>
          <w:p w14:paraId="59579000" w14:textId="77777777" w:rsidR="00A16857" w:rsidRPr="00A16857" w:rsidRDefault="00A16857" w:rsidP="000A6152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5" w:type="dxa"/>
            <w:hideMark/>
          </w:tcPr>
          <w:p w14:paraId="59579001" w14:textId="77777777" w:rsidR="00A16857" w:rsidRPr="00A16857" w:rsidRDefault="00A16857" w:rsidP="000A6152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5" w:type="dxa"/>
            <w:hideMark/>
          </w:tcPr>
          <w:p w14:paraId="59579002" w14:textId="77777777" w:rsidR="00A16857" w:rsidRPr="00A16857" w:rsidRDefault="00A16857" w:rsidP="000A6152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5" w:type="dxa"/>
            <w:hideMark/>
          </w:tcPr>
          <w:p w14:paraId="59579003" w14:textId="77777777" w:rsidR="00A16857" w:rsidRPr="00A16857" w:rsidRDefault="00A16857" w:rsidP="000A6152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995" w:type="dxa"/>
            <w:hideMark/>
          </w:tcPr>
          <w:p w14:paraId="59579004" w14:textId="77777777" w:rsidR="00A16857" w:rsidRPr="00A16857" w:rsidRDefault="00A16857" w:rsidP="000A6152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1295" w:type="dxa"/>
            <w:hideMark/>
          </w:tcPr>
          <w:p w14:paraId="59579005" w14:textId="77777777" w:rsidR="00A16857" w:rsidRDefault="00A16857" w:rsidP="00A16857">
            <w:pPr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Percentage</w:t>
            </w:r>
          </w:p>
          <w:p w14:paraId="59579006" w14:textId="77777777" w:rsidR="00A16857" w:rsidRPr="00A16857" w:rsidRDefault="00DD78FD" w:rsidP="00A168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="00A16857">
              <w:rPr>
                <w:b/>
                <w:bCs/>
                <w:sz w:val="20"/>
                <w:szCs w:val="20"/>
              </w:rPr>
              <w:t>ncrease</w:t>
            </w:r>
            <w:r>
              <w:rPr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9250DD" w:rsidRPr="00A16857" w14:paraId="59579012" w14:textId="77777777" w:rsidTr="006B400E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9008" w14:textId="6E860023" w:rsidR="0070479E" w:rsidRPr="00A16857" w:rsidRDefault="0070479E" w:rsidP="0070479E">
            <w:pPr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Council Tax 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E27331">
              <w:rPr>
                <w:b/>
                <w:bCs/>
                <w:sz w:val="20"/>
                <w:szCs w:val="20"/>
              </w:rPr>
              <w:t>2</w:t>
            </w:r>
            <w:r w:rsidRPr="00A16857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E2733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(exclusive of GLA precept)</w:t>
            </w:r>
          </w:p>
        </w:tc>
        <w:tc>
          <w:tcPr>
            <w:tcW w:w="1036" w:type="dxa"/>
          </w:tcPr>
          <w:p w14:paraId="59579009" w14:textId="77D84278" w:rsidR="0070479E" w:rsidRPr="00A16857" w:rsidRDefault="00735D63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938.70</w:t>
            </w:r>
          </w:p>
        </w:tc>
        <w:tc>
          <w:tcPr>
            <w:tcW w:w="995" w:type="dxa"/>
          </w:tcPr>
          <w:p w14:paraId="5957900A" w14:textId="36651937" w:rsidR="0070479E" w:rsidRPr="00A16857" w:rsidRDefault="00CC7D86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735D63">
              <w:rPr>
                <w:b/>
                <w:bCs/>
                <w:sz w:val="20"/>
                <w:szCs w:val="20"/>
              </w:rPr>
              <w:t>095.15</w:t>
            </w:r>
          </w:p>
        </w:tc>
        <w:tc>
          <w:tcPr>
            <w:tcW w:w="995" w:type="dxa"/>
          </w:tcPr>
          <w:p w14:paraId="5957900B" w14:textId="4EDF9B0B" w:rsidR="0070479E" w:rsidRPr="00A16857" w:rsidRDefault="00DD45B7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735D63">
              <w:rPr>
                <w:b/>
                <w:bCs/>
                <w:sz w:val="20"/>
                <w:szCs w:val="20"/>
              </w:rPr>
              <w:t>251.60</w:t>
            </w:r>
          </w:p>
        </w:tc>
        <w:tc>
          <w:tcPr>
            <w:tcW w:w="995" w:type="dxa"/>
          </w:tcPr>
          <w:p w14:paraId="5957900C" w14:textId="44086696" w:rsidR="0070479E" w:rsidRPr="00F844C2" w:rsidRDefault="0070479E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844C2">
              <w:rPr>
                <w:b/>
                <w:bCs/>
                <w:sz w:val="20"/>
                <w:szCs w:val="20"/>
                <w:highlight w:val="yellow"/>
              </w:rPr>
              <w:t>1,</w:t>
            </w:r>
            <w:r w:rsidR="00AF4586" w:rsidRPr="00F844C2">
              <w:rPr>
                <w:b/>
                <w:bCs/>
                <w:sz w:val="20"/>
                <w:szCs w:val="20"/>
                <w:highlight w:val="yellow"/>
              </w:rPr>
              <w:t>408.05</w:t>
            </w:r>
          </w:p>
        </w:tc>
        <w:tc>
          <w:tcPr>
            <w:tcW w:w="995" w:type="dxa"/>
          </w:tcPr>
          <w:p w14:paraId="5957900D" w14:textId="3F74B3B9" w:rsidR="0070479E" w:rsidRPr="00A16857" w:rsidRDefault="0070479E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1,</w:t>
            </w:r>
            <w:r w:rsidR="00B958C2">
              <w:rPr>
                <w:b/>
                <w:bCs/>
                <w:sz w:val="20"/>
                <w:szCs w:val="20"/>
              </w:rPr>
              <w:t>720.95</w:t>
            </w:r>
          </w:p>
        </w:tc>
        <w:tc>
          <w:tcPr>
            <w:tcW w:w="995" w:type="dxa"/>
          </w:tcPr>
          <w:p w14:paraId="5957900E" w14:textId="648E58CE" w:rsidR="0070479E" w:rsidRPr="00A16857" w:rsidRDefault="00B958C2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04315">
              <w:rPr>
                <w:b/>
                <w:bCs/>
                <w:sz w:val="20"/>
                <w:szCs w:val="20"/>
              </w:rPr>
              <w:t>,033.85</w:t>
            </w:r>
          </w:p>
        </w:tc>
        <w:tc>
          <w:tcPr>
            <w:tcW w:w="995" w:type="dxa"/>
          </w:tcPr>
          <w:p w14:paraId="5957900F" w14:textId="3CB09141" w:rsidR="0070479E" w:rsidRPr="00A16857" w:rsidRDefault="0070479E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A16857">
              <w:rPr>
                <w:b/>
                <w:bCs/>
                <w:sz w:val="20"/>
                <w:szCs w:val="20"/>
              </w:rPr>
              <w:t>,</w:t>
            </w:r>
            <w:r w:rsidR="00A04315">
              <w:rPr>
                <w:b/>
                <w:bCs/>
                <w:sz w:val="20"/>
                <w:szCs w:val="20"/>
              </w:rPr>
              <w:t>346.75</w:t>
            </w:r>
          </w:p>
        </w:tc>
        <w:tc>
          <w:tcPr>
            <w:tcW w:w="995" w:type="dxa"/>
          </w:tcPr>
          <w:p w14:paraId="59579010" w14:textId="7A80CC3A" w:rsidR="0070479E" w:rsidRPr="00A16857" w:rsidRDefault="0070479E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2,</w:t>
            </w:r>
            <w:r w:rsidR="00A04315">
              <w:rPr>
                <w:b/>
                <w:bCs/>
                <w:sz w:val="20"/>
                <w:szCs w:val="20"/>
              </w:rPr>
              <w:t>816.10</w:t>
            </w:r>
          </w:p>
        </w:tc>
        <w:tc>
          <w:tcPr>
            <w:tcW w:w="1295" w:type="dxa"/>
            <w:noWrap/>
          </w:tcPr>
          <w:p w14:paraId="59579011" w14:textId="77777777" w:rsidR="0070479E" w:rsidRPr="00A16857" w:rsidRDefault="0070479E" w:rsidP="0070479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50DD" w:rsidRPr="00A16857" w14:paraId="5957901D" w14:textId="77777777" w:rsidTr="003B7BB8">
        <w:trPr>
          <w:trHeight w:val="255"/>
          <w:jc w:val="center"/>
        </w:trPr>
        <w:tc>
          <w:tcPr>
            <w:tcW w:w="1827" w:type="dxa"/>
            <w:noWrap/>
            <w:hideMark/>
          </w:tcPr>
          <w:p w14:paraId="59579013" w14:textId="77777777" w:rsidR="0070479E" w:rsidRPr="00A16857" w:rsidRDefault="0070479E" w:rsidP="0070479E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noWrap/>
            <w:hideMark/>
          </w:tcPr>
          <w:p w14:paraId="59579014" w14:textId="77777777" w:rsidR="0070479E" w:rsidRPr="00A16857" w:rsidRDefault="0070479E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15" w14:textId="77777777" w:rsidR="0070479E" w:rsidRPr="00A16857" w:rsidRDefault="0070479E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16" w14:textId="77777777" w:rsidR="0070479E" w:rsidRPr="00A16857" w:rsidRDefault="0070479E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17" w14:textId="77777777" w:rsidR="0070479E" w:rsidRPr="00F844C2" w:rsidRDefault="0070479E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5" w:type="dxa"/>
            <w:noWrap/>
            <w:hideMark/>
          </w:tcPr>
          <w:p w14:paraId="59579018" w14:textId="77777777" w:rsidR="0070479E" w:rsidRPr="00A16857" w:rsidRDefault="0070479E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19" w14:textId="77777777" w:rsidR="0070479E" w:rsidRPr="00A16857" w:rsidRDefault="0070479E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1A" w14:textId="77777777" w:rsidR="0070479E" w:rsidRPr="00A16857" w:rsidRDefault="0070479E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1B" w14:textId="77777777" w:rsidR="0070479E" w:rsidRPr="00A16857" w:rsidRDefault="0070479E" w:rsidP="00CB7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noWrap/>
            <w:hideMark/>
          </w:tcPr>
          <w:p w14:paraId="5957901C" w14:textId="77777777" w:rsidR="0070479E" w:rsidRPr="00A16857" w:rsidRDefault="0070479E" w:rsidP="0070479E">
            <w:pPr>
              <w:rPr>
                <w:sz w:val="20"/>
                <w:szCs w:val="20"/>
              </w:rPr>
            </w:pPr>
          </w:p>
        </w:tc>
      </w:tr>
      <w:tr w:rsidR="009250DD" w:rsidRPr="00A16857" w14:paraId="59579028" w14:textId="77777777" w:rsidTr="00F844C2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901E" w14:textId="74DF3587" w:rsidR="00DC25B3" w:rsidRPr="00A16857" w:rsidRDefault="00DC25B3" w:rsidP="00DC25B3">
            <w:pPr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Adult Social Care Precept increase 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43D5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/2</w:t>
            </w:r>
            <w:r w:rsidR="00D43D5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  <w:noWrap/>
          </w:tcPr>
          <w:p w14:paraId="5957901F" w14:textId="37D5B9B3" w:rsidR="00DC25B3" w:rsidRPr="00A16857" w:rsidRDefault="00817CA0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18.78</w:t>
            </w:r>
          </w:p>
        </w:tc>
        <w:tc>
          <w:tcPr>
            <w:tcW w:w="995" w:type="dxa"/>
            <w:noWrap/>
          </w:tcPr>
          <w:p w14:paraId="59579020" w14:textId="72DDBFC8" w:rsidR="00DC25B3" w:rsidRPr="00A16857" w:rsidRDefault="00A56AF5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89360B">
              <w:rPr>
                <w:sz w:val="20"/>
                <w:szCs w:val="20"/>
              </w:rPr>
              <w:t>91</w:t>
            </w:r>
          </w:p>
        </w:tc>
        <w:tc>
          <w:tcPr>
            <w:tcW w:w="995" w:type="dxa"/>
            <w:noWrap/>
          </w:tcPr>
          <w:p w14:paraId="59579021" w14:textId="34DBF9C1" w:rsidR="00DC25B3" w:rsidRPr="00A16857" w:rsidRDefault="0089360B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995" w:type="dxa"/>
            <w:noWrap/>
          </w:tcPr>
          <w:p w14:paraId="59579022" w14:textId="67238476" w:rsidR="00DC25B3" w:rsidRPr="00F844C2" w:rsidRDefault="00A04315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844C2">
              <w:rPr>
                <w:b/>
                <w:bCs/>
                <w:sz w:val="20"/>
                <w:szCs w:val="20"/>
                <w:highlight w:val="yellow"/>
              </w:rPr>
              <w:t xml:space="preserve">28.16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C27A5" w:rsidRPr="00F844C2">
              <w:rPr>
                <w:b/>
                <w:bCs/>
                <w:sz w:val="20"/>
                <w:szCs w:val="20"/>
                <w:highlight w:val="yellow"/>
              </w:rPr>
              <w:t xml:space="preserve">                 </w:t>
            </w:r>
          </w:p>
        </w:tc>
        <w:tc>
          <w:tcPr>
            <w:tcW w:w="995" w:type="dxa"/>
            <w:noWrap/>
          </w:tcPr>
          <w:p w14:paraId="59579023" w14:textId="2387D4D4" w:rsidR="00DC25B3" w:rsidRPr="00A16857" w:rsidRDefault="00543323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34.42</w:t>
            </w:r>
          </w:p>
        </w:tc>
        <w:tc>
          <w:tcPr>
            <w:tcW w:w="995" w:type="dxa"/>
            <w:noWrap/>
          </w:tcPr>
          <w:p w14:paraId="59579024" w14:textId="0841E164" w:rsidR="00DC25B3" w:rsidRPr="00A16857" w:rsidRDefault="00B25E6C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40.67</w:t>
            </w:r>
          </w:p>
        </w:tc>
        <w:tc>
          <w:tcPr>
            <w:tcW w:w="995" w:type="dxa"/>
            <w:noWrap/>
          </w:tcPr>
          <w:p w14:paraId="59579025" w14:textId="7BB9B193" w:rsidR="00DC25B3" w:rsidRPr="00A16857" w:rsidRDefault="00B25E6C" w:rsidP="00017D84">
            <w:pPr>
              <w:jc w:val="center"/>
              <w:rPr>
                <w:sz w:val="20"/>
                <w:szCs w:val="20"/>
              </w:rPr>
            </w:pPr>
            <w:r w:rsidRPr="003B7ACE">
              <w:rPr>
                <w:sz w:val="20"/>
                <w:szCs w:val="20"/>
              </w:rPr>
              <w:t>46.9</w:t>
            </w:r>
            <w:r w:rsidR="003B7ACE" w:rsidRPr="003B7ACE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noWrap/>
          </w:tcPr>
          <w:p w14:paraId="59579026" w14:textId="3496C0FD" w:rsidR="00DC25B3" w:rsidRPr="00A16857" w:rsidRDefault="00533D06" w:rsidP="00CB7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56.32</w:t>
            </w:r>
          </w:p>
        </w:tc>
        <w:tc>
          <w:tcPr>
            <w:tcW w:w="1295" w:type="dxa"/>
            <w:noWrap/>
            <w:hideMark/>
          </w:tcPr>
          <w:p w14:paraId="59579027" w14:textId="57D85D0F" w:rsidR="00DC25B3" w:rsidRPr="00A16857" w:rsidRDefault="00217B34" w:rsidP="00DC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25B3" w:rsidRPr="00A16857">
              <w:rPr>
                <w:sz w:val="20"/>
                <w:szCs w:val="20"/>
              </w:rPr>
              <w:t>.00%</w:t>
            </w:r>
          </w:p>
        </w:tc>
      </w:tr>
      <w:tr w:rsidR="009250DD" w:rsidRPr="00A16857" w14:paraId="59579033" w14:textId="77777777" w:rsidTr="006A1B22">
        <w:trPr>
          <w:trHeight w:val="300"/>
          <w:jc w:val="center"/>
        </w:trPr>
        <w:tc>
          <w:tcPr>
            <w:tcW w:w="1827" w:type="dxa"/>
            <w:noWrap/>
            <w:hideMark/>
          </w:tcPr>
          <w:p w14:paraId="59579029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noWrap/>
          </w:tcPr>
          <w:p w14:paraId="5957902A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14:paraId="5957902B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14:paraId="5957902C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2D" w14:textId="77777777" w:rsidR="00DC25B3" w:rsidRPr="00F844C2" w:rsidRDefault="00DC25B3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5" w:type="dxa"/>
            <w:noWrap/>
          </w:tcPr>
          <w:p w14:paraId="5957902E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14:paraId="5957902F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14:paraId="59579030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</w:tcPr>
          <w:p w14:paraId="59579031" w14:textId="77777777" w:rsidR="00DC25B3" w:rsidRPr="00A16857" w:rsidRDefault="00DC25B3" w:rsidP="00CB7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noWrap/>
            <w:hideMark/>
          </w:tcPr>
          <w:p w14:paraId="59579032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</w:tr>
      <w:tr w:rsidR="009250DD" w:rsidRPr="00A16857" w14:paraId="5957903E" w14:textId="77777777" w:rsidTr="006A1B22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9034" w14:textId="00BC4169" w:rsidR="00DC25B3" w:rsidRPr="001D43F6" w:rsidRDefault="00DC25B3" w:rsidP="00DC25B3">
            <w:pPr>
              <w:rPr>
                <w:b/>
                <w:bCs/>
                <w:sz w:val="20"/>
                <w:szCs w:val="20"/>
              </w:rPr>
            </w:pPr>
            <w:r w:rsidRPr="001D43F6">
              <w:rPr>
                <w:b/>
                <w:bCs/>
                <w:sz w:val="20"/>
                <w:szCs w:val="20"/>
              </w:rPr>
              <w:t>L B Bromley General increase 202</w:t>
            </w:r>
            <w:r w:rsidR="00D43D58">
              <w:rPr>
                <w:b/>
                <w:bCs/>
                <w:sz w:val="20"/>
                <w:szCs w:val="20"/>
              </w:rPr>
              <w:t>4</w:t>
            </w:r>
            <w:r w:rsidRPr="001D43F6">
              <w:rPr>
                <w:b/>
                <w:bCs/>
                <w:sz w:val="20"/>
                <w:szCs w:val="20"/>
              </w:rPr>
              <w:t>/2</w:t>
            </w:r>
            <w:r w:rsidR="00D43D5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</w:tcPr>
          <w:p w14:paraId="59579035" w14:textId="3C42618D" w:rsidR="00DC25B3" w:rsidRPr="001D43F6" w:rsidRDefault="0098156C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</w:t>
            </w:r>
          </w:p>
        </w:tc>
        <w:tc>
          <w:tcPr>
            <w:tcW w:w="995" w:type="dxa"/>
          </w:tcPr>
          <w:p w14:paraId="59579036" w14:textId="6E9D53E5" w:rsidR="00DC25B3" w:rsidRPr="001D43F6" w:rsidRDefault="002A421B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32.74</w:t>
            </w:r>
          </w:p>
        </w:tc>
        <w:tc>
          <w:tcPr>
            <w:tcW w:w="995" w:type="dxa"/>
          </w:tcPr>
          <w:p w14:paraId="59579037" w14:textId="4484E0F0" w:rsidR="00DC25B3" w:rsidRPr="001D43F6" w:rsidRDefault="008E7761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37.42</w:t>
            </w:r>
          </w:p>
        </w:tc>
        <w:tc>
          <w:tcPr>
            <w:tcW w:w="995" w:type="dxa"/>
            <w:hideMark/>
          </w:tcPr>
          <w:p w14:paraId="59579038" w14:textId="2A2F0A32" w:rsidR="00DC25B3" w:rsidRPr="00F844C2" w:rsidRDefault="005B5015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844C2">
              <w:rPr>
                <w:b/>
                <w:bCs/>
                <w:sz w:val="20"/>
                <w:szCs w:val="20"/>
                <w:highlight w:val="yellow"/>
              </w:rPr>
              <w:t>4</w:t>
            </w:r>
            <w:r w:rsidR="005D5063" w:rsidRPr="00F844C2">
              <w:rPr>
                <w:b/>
                <w:bCs/>
                <w:sz w:val="20"/>
                <w:szCs w:val="20"/>
                <w:highlight w:val="yellow"/>
              </w:rPr>
              <w:t>2.10</w:t>
            </w:r>
          </w:p>
        </w:tc>
        <w:tc>
          <w:tcPr>
            <w:tcW w:w="995" w:type="dxa"/>
          </w:tcPr>
          <w:p w14:paraId="59579039" w14:textId="5C7FAA73" w:rsidR="00DC25B3" w:rsidRPr="001D43F6" w:rsidRDefault="00FF7487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51.45</w:t>
            </w:r>
          </w:p>
        </w:tc>
        <w:tc>
          <w:tcPr>
            <w:tcW w:w="995" w:type="dxa"/>
          </w:tcPr>
          <w:p w14:paraId="5957903A" w14:textId="4089337A" w:rsidR="00DC25B3" w:rsidRPr="001D43F6" w:rsidRDefault="007B2BD5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60.82</w:t>
            </w:r>
          </w:p>
        </w:tc>
        <w:tc>
          <w:tcPr>
            <w:tcW w:w="995" w:type="dxa"/>
          </w:tcPr>
          <w:p w14:paraId="5957903B" w14:textId="37D4FD86" w:rsidR="00DC25B3" w:rsidRPr="001D43F6" w:rsidRDefault="00A75052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70.1</w:t>
            </w:r>
            <w:r w:rsidR="00222ACC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</w:tcPr>
          <w:p w14:paraId="5957903C" w14:textId="253F4137" w:rsidR="00DC25B3" w:rsidRPr="001D43F6" w:rsidRDefault="004F5797" w:rsidP="00CB7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84.20</w:t>
            </w:r>
          </w:p>
        </w:tc>
        <w:tc>
          <w:tcPr>
            <w:tcW w:w="1295" w:type="dxa"/>
            <w:noWrap/>
            <w:hideMark/>
          </w:tcPr>
          <w:p w14:paraId="5957903D" w14:textId="4A7F7777" w:rsidR="00DC25B3" w:rsidRPr="00430D99" w:rsidRDefault="00DA5A43" w:rsidP="00DC25B3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2.99</w:t>
            </w:r>
            <w:r w:rsidR="00E03068">
              <w:rPr>
                <w:sz w:val="20"/>
                <w:szCs w:val="20"/>
              </w:rPr>
              <w:t>%</w:t>
            </w:r>
          </w:p>
        </w:tc>
      </w:tr>
      <w:tr w:rsidR="009250DD" w:rsidRPr="00A16857" w14:paraId="59579049" w14:textId="77777777" w:rsidTr="003B7BB8">
        <w:trPr>
          <w:trHeight w:val="300"/>
          <w:jc w:val="center"/>
        </w:trPr>
        <w:tc>
          <w:tcPr>
            <w:tcW w:w="1827" w:type="dxa"/>
            <w:noWrap/>
            <w:hideMark/>
          </w:tcPr>
          <w:p w14:paraId="5957903F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noWrap/>
            <w:hideMark/>
          </w:tcPr>
          <w:p w14:paraId="59579040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41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42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43" w14:textId="77777777" w:rsidR="00DC25B3" w:rsidRPr="00F844C2" w:rsidRDefault="00DC25B3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5" w:type="dxa"/>
            <w:noWrap/>
            <w:hideMark/>
          </w:tcPr>
          <w:p w14:paraId="59579044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45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46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47" w14:textId="77777777" w:rsidR="00DC25B3" w:rsidRPr="00A16857" w:rsidRDefault="00DC25B3" w:rsidP="00CB7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noWrap/>
            <w:hideMark/>
          </w:tcPr>
          <w:p w14:paraId="59579048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</w:tr>
      <w:tr w:rsidR="009250DD" w:rsidRPr="00A16857" w14:paraId="59579054" w14:textId="77777777" w:rsidTr="00781591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904A" w14:textId="1C7A014C" w:rsidR="00DC25B3" w:rsidRPr="00A16857" w:rsidRDefault="00DC25B3" w:rsidP="00DC25B3">
            <w:pPr>
              <w:rPr>
                <w:b/>
                <w:bCs/>
                <w:sz w:val="20"/>
                <w:szCs w:val="20"/>
              </w:rPr>
            </w:pPr>
            <w:bookmarkStart w:id="0" w:name="_Hlk65586077"/>
            <w:r w:rsidRPr="00A16857">
              <w:rPr>
                <w:b/>
                <w:bCs/>
                <w:sz w:val="20"/>
                <w:szCs w:val="20"/>
              </w:rPr>
              <w:t>L B Bromley Total Council Tax 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43D5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/2</w:t>
            </w:r>
            <w:r w:rsidR="00D43D5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  <w:noWrap/>
          </w:tcPr>
          <w:p w14:paraId="5957904B" w14:textId="4A1D1192" w:rsidR="00DC25B3" w:rsidRPr="00A16857" w:rsidRDefault="00A87B86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985.54</w:t>
            </w:r>
          </w:p>
        </w:tc>
        <w:tc>
          <w:tcPr>
            <w:tcW w:w="995" w:type="dxa"/>
            <w:noWrap/>
          </w:tcPr>
          <w:p w14:paraId="5957904C" w14:textId="47F794EF" w:rsidR="00DC25B3" w:rsidRPr="00A16857" w:rsidRDefault="00A87B86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1,149.80</w:t>
            </w:r>
          </w:p>
        </w:tc>
        <w:tc>
          <w:tcPr>
            <w:tcW w:w="995" w:type="dxa"/>
            <w:noWrap/>
          </w:tcPr>
          <w:p w14:paraId="5957904D" w14:textId="15929325" w:rsidR="00DC25B3" w:rsidRPr="00A16857" w:rsidRDefault="00A87B86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1,314.05</w:t>
            </w:r>
          </w:p>
        </w:tc>
        <w:tc>
          <w:tcPr>
            <w:tcW w:w="995" w:type="dxa"/>
            <w:noWrap/>
          </w:tcPr>
          <w:p w14:paraId="5957904E" w14:textId="797F3B9F" w:rsidR="00DC25B3" w:rsidRPr="00F844C2" w:rsidRDefault="00DC25B3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844C2">
              <w:rPr>
                <w:b/>
                <w:bCs/>
                <w:sz w:val="20"/>
                <w:szCs w:val="20"/>
                <w:highlight w:val="yellow"/>
              </w:rPr>
              <w:t>1,</w:t>
            </w:r>
            <w:r w:rsidR="007D61F1" w:rsidRPr="00F844C2">
              <w:rPr>
                <w:b/>
                <w:bCs/>
                <w:sz w:val="20"/>
                <w:szCs w:val="20"/>
                <w:highlight w:val="yellow"/>
              </w:rPr>
              <w:t>4</w:t>
            </w:r>
            <w:r w:rsidR="00F844C2" w:rsidRPr="00F844C2">
              <w:rPr>
                <w:b/>
                <w:bCs/>
                <w:sz w:val="20"/>
                <w:szCs w:val="20"/>
                <w:highlight w:val="yellow"/>
              </w:rPr>
              <w:t>78.31</w:t>
            </w:r>
          </w:p>
        </w:tc>
        <w:tc>
          <w:tcPr>
            <w:tcW w:w="995" w:type="dxa"/>
            <w:noWrap/>
          </w:tcPr>
          <w:p w14:paraId="5957904F" w14:textId="04778962" w:rsidR="00DC25B3" w:rsidRPr="00A16857" w:rsidRDefault="00617479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1,806.82</w:t>
            </w:r>
          </w:p>
        </w:tc>
        <w:tc>
          <w:tcPr>
            <w:tcW w:w="995" w:type="dxa"/>
            <w:noWrap/>
            <w:hideMark/>
          </w:tcPr>
          <w:p w14:paraId="59579050" w14:textId="43EF9180" w:rsidR="00DC25B3" w:rsidRPr="00A16857" w:rsidRDefault="00617479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2,135.34</w:t>
            </w:r>
          </w:p>
        </w:tc>
        <w:tc>
          <w:tcPr>
            <w:tcW w:w="995" w:type="dxa"/>
            <w:noWrap/>
            <w:hideMark/>
          </w:tcPr>
          <w:p w14:paraId="59579051" w14:textId="39EF0184" w:rsidR="00DC25B3" w:rsidRPr="00A16857" w:rsidRDefault="006A1B22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2,463.85</w:t>
            </w:r>
          </w:p>
        </w:tc>
        <w:tc>
          <w:tcPr>
            <w:tcW w:w="995" w:type="dxa"/>
            <w:noWrap/>
            <w:hideMark/>
          </w:tcPr>
          <w:p w14:paraId="59579052" w14:textId="2D6D9B5F" w:rsidR="00DC25B3" w:rsidRPr="00A16857" w:rsidRDefault="006A1B22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2,956.62</w:t>
            </w:r>
          </w:p>
        </w:tc>
        <w:tc>
          <w:tcPr>
            <w:tcW w:w="1295" w:type="dxa"/>
            <w:noWrap/>
            <w:hideMark/>
          </w:tcPr>
          <w:p w14:paraId="59579053" w14:textId="2C6DB8C3" w:rsidR="00DC25B3" w:rsidRPr="00A16857" w:rsidRDefault="003266E6" w:rsidP="00DC2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4.99</w:t>
            </w:r>
            <w:r w:rsidR="00DC25B3" w:rsidRPr="00A16857">
              <w:rPr>
                <w:b/>
                <w:bCs/>
                <w:sz w:val="20"/>
                <w:szCs w:val="20"/>
              </w:rPr>
              <w:t>%</w:t>
            </w:r>
          </w:p>
        </w:tc>
      </w:tr>
      <w:bookmarkEnd w:id="0"/>
      <w:tr w:rsidR="009250DD" w:rsidRPr="00A16857" w14:paraId="5957905F" w14:textId="77777777" w:rsidTr="003B7BB8">
        <w:trPr>
          <w:trHeight w:val="300"/>
          <w:jc w:val="center"/>
        </w:trPr>
        <w:tc>
          <w:tcPr>
            <w:tcW w:w="1827" w:type="dxa"/>
            <w:noWrap/>
            <w:hideMark/>
          </w:tcPr>
          <w:p w14:paraId="59579055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noWrap/>
            <w:hideMark/>
          </w:tcPr>
          <w:p w14:paraId="59579056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57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58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59" w14:textId="77777777" w:rsidR="00DC25B3" w:rsidRPr="00F844C2" w:rsidRDefault="00DC25B3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5" w:type="dxa"/>
            <w:noWrap/>
            <w:hideMark/>
          </w:tcPr>
          <w:p w14:paraId="5957905A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5B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5C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5D" w14:textId="77777777" w:rsidR="00DC25B3" w:rsidRPr="00A16857" w:rsidRDefault="00DC25B3" w:rsidP="00CB7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noWrap/>
            <w:hideMark/>
          </w:tcPr>
          <w:p w14:paraId="5957905E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</w:tr>
      <w:tr w:rsidR="009250DD" w:rsidRPr="00A16857" w14:paraId="5957906A" w14:textId="77777777" w:rsidTr="00A5339D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9060" w14:textId="52CB486F" w:rsidR="00DC25B3" w:rsidRPr="00A16857" w:rsidRDefault="00DC25B3" w:rsidP="00DC25B3">
            <w:pPr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Greater London Authority Precept 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D43D58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/2</w:t>
            </w:r>
            <w:r w:rsidR="00D43D5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  <w:noWrap/>
          </w:tcPr>
          <w:p w14:paraId="59579061" w14:textId="294442B9" w:rsidR="00DC25B3" w:rsidRPr="00A16857" w:rsidRDefault="00AE7EB4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314.27</w:t>
            </w:r>
          </w:p>
        </w:tc>
        <w:tc>
          <w:tcPr>
            <w:tcW w:w="995" w:type="dxa"/>
            <w:noWrap/>
          </w:tcPr>
          <w:p w14:paraId="59579062" w14:textId="6BD72D59" w:rsidR="00DC25B3" w:rsidRPr="00A16857" w:rsidRDefault="00AE7EB4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366.64</w:t>
            </w:r>
          </w:p>
        </w:tc>
        <w:tc>
          <w:tcPr>
            <w:tcW w:w="995" w:type="dxa"/>
            <w:noWrap/>
          </w:tcPr>
          <w:p w14:paraId="59579063" w14:textId="50A34820" w:rsidR="00DC25B3" w:rsidRPr="00A16857" w:rsidRDefault="00C00319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419.02</w:t>
            </w:r>
          </w:p>
        </w:tc>
        <w:tc>
          <w:tcPr>
            <w:tcW w:w="995" w:type="dxa"/>
            <w:noWrap/>
          </w:tcPr>
          <w:p w14:paraId="59579064" w14:textId="3E510109" w:rsidR="00DC25B3" w:rsidRPr="00F844C2" w:rsidRDefault="007027CF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844C2">
              <w:rPr>
                <w:b/>
                <w:bCs/>
                <w:sz w:val="20"/>
                <w:szCs w:val="20"/>
                <w:highlight w:val="yellow"/>
              </w:rPr>
              <w:t>4</w:t>
            </w:r>
            <w:r w:rsidR="0007213E">
              <w:rPr>
                <w:b/>
                <w:bCs/>
                <w:sz w:val="20"/>
                <w:szCs w:val="20"/>
                <w:highlight w:val="yellow"/>
              </w:rPr>
              <w:t>71.40</w:t>
            </w:r>
          </w:p>
        </w:tc>
        <w:tc>
          <w:tcPr>
            <w:tcW w:w="995" w:type="dxa"/>
            <w:noWrap/>
          </w:tcPr>
          <w:p w14:paraId="59579065" w14:textId="1DFDE4AB" w:rsidR="00DC25B3" w:rsidRPr="00A16857" w:rsidRDefault="00CB688B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0319">
              <w:rPr>
                <w:sz w:val="20"/>
                <w:szCs w:val="20"/>
              </w:rPr>
              <w:t>76.16</w:t>
            </w:r>
          </w:p>
        </w:tc>
        <w:tc>
          <w:tcPr>
            <w:tcW w:w="995" w:type="dxa"/>
            <w:noWrap/>
          </w:tcPr>
          <w:p w14:paraId="59579066" w14:textId="059E9A14" w:rsidR="00DC25B3" w:rsidRPr="00A16857" w:rsidRDefault="00CB688B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0319">
              <w:rPr>
                <w:sz w:val="20"/>
                <w:szCs w:val="20"/>
              </w:rPr>
              <w:t>80.91</w:t>
            </w:r>
          </w:p>
        </w:tc>
        <w:tc>
          <w:tcPr>
            <w:tcW w:w="995" w:type="dxa"/>
            <w:noWrap/>
          </w:tcPr>
          <w:p w14:paraId="59579067" w14:textId="43DB3DBA" w:rsidR="00DC25B3" w:rsidRPr="00A16857" w:rsidRDefault="00CB688B" w:rsidP="00017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0319">
              <w:rPr>
                <w:sz w:val="20"/>
                <w:szCs w:val="20"/>
              </w:rPr>
              <w:t>8</w:t>
            </w:r>
            <w:r w:rsidR="008A138A">
              <w:rPr>
                <w:sz w:val="20"/>
                <w:szCs w:val="20"/>
              </w:rPr>
              <w:t>5.67</w:t>
            </w:r>
          </w:p>
        </w:tc>
        <w:tc>
          <w:tcPr>
            <w:tcW w:w="995" w:type="dxa"/>
            <w:noWrap/>
          </w:tcPr>
          <w:p w14:paraId="59579068" w14:textId="0E06C15F" w:rsidR="00DC25B3" w:rsidRPr="00A16857" w:rsidRDefault="008A138A" w:rsidP="00CB7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942.80</w:t>
            </w:r>
          </w:p>
        </w:tc>
        <w:tc>
          <w:tcPr>
            <w:tcW w:w="1295" w:type="dxa"/>
            <w:noWrap/>
            <w:hideMark/>
          </w:tcPr>
          <w:p w14:paraId="59579069" w14:textId="0B83BCF3" w:rsidR="00DC25B3" w:rsidRPr="00A16857" w:rsidRDefault="008A138A" w:rsidP="00DC2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8.58</w:t>
            </w:r>
            <w:r w:rsidR="00DC25B3">
              <w:rPr>
                <w:sz w:val="20"/>
                <w:szCs w:val="20"/>
              </w:rPr>
              <w:t>%</w:t>
            </w:r>
          </w:p>
        </w:tc>
      </w:tr>
      <w:tr w:rsidR="009250DD" w:rsidRPr="00A16857" w14:paraId="59579075" w14:textId="77777777" w:rsidTr="003B7BB8">
        <w:trPr>
          <w:trHeight w:val="300"/>
          <w:jc w:val="center"/>
        </w:trPr>
        <w:tc>
          <w:tcPr>
            <w:tcW w:w="1827" w:type="dxa"/>
            <w:noWrap/>
            <w:hideMark/>
          </w:tcPr>
          <w:p w14:paraId="5957906B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noWrap/>
            <w:hideMark/>
          </w:tcPr>
          <w:p w14:paraId="5957906C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6D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6E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6F" w14:textId="77777777" w:rsidR="00DC25B3" w:rsidRPr="00F844C2" w:rsidRDefault="00DC25B3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5" w:type="dxa"/>
            <w:noWrap/>
            <w:hideMark/>
          </w:tcPr>
          <w:p w14:paraId="59579070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71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72" w14:textId="77777777" w:rsidR="00DC25B3" w:rsidRPr="00A16857" w:rsidRDefault="00DC25B3" w:rsidP="00017D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73" w14:textId="77777777" w:rsidR="00DC25B3" w:rsidRPr="00A16857" w:rsidRDefault="00DC25B3" w:rsidP="00CB7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noWrap/>
            <w:hideMark/>
          </w:tcPr>
          <w:p w14:paraId="59579074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</w:tr>
      <w:tr w:rsidR="009250DD" w:rsidRPr="00A16857" w14:paraId="59579080" w14:textId="77777777" w:rsidTr="00432951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9076" w14:textId="3A286ED1" w:rsidR="00DC25B3" w:rsidRPr="00A16857" w:rsidRDefault="00DC25B3" w:rsidP="00DC25B3">
            <w:pPr>
              <w:rPr>
                <w:b/>
                <w:bCs/>
                <w:sz w:val="20"/>
                <w:szCs w:val="20"/>
              </w:rPr>
            </w:pPr>
            <w:r w:rsidRPr="00A16857">
              <w:rPr>
                <w:b/>
                <w:bCs/>
                <w:sz w:val="20"/>
                <w:szCs w:val="20"/>
              </w:rPr>
              <w:t>Aggregate of Council Tax Requirements 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B19A2">
              <w:rPr>
                <w:b/>
                <w:bCs/>
                <w:sz w:val="20"/>
                <w:szCs w:val="20"/>
              </w:rPr>
              <w:t>4</w:t>
            </w:r>
            <w:r w:rsidRPr="00A16857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CB19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6" w:type="dxa"/>
            <w:noWrap/>
          </w:tcPr>
          <w:p w14:paraId="59579077" w14:textId="5BA9B0F8" w:rsidR="00DC25B3" w:rsidRPr="00A16857" w:rsidRDefault="00DC25B3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A13692">
              <w:rPr>
                <w:b/>
                <w:bCs/>
                <w:sz w:val="20"/>
                <w:szCs w:val="20"/>
              </w:rPr>
              <w:t>2</w:t>
            </w:r>
            <w:r w:rsidR="00A02D47">
              <w:rPr>
                <w:b/>
                <w:bCs/>
                <w:sz w:val="20"/>
                <w:szCs w:val="20"/>
              </w:rPr>
              <w:t>99.81</w:t>
            </w:r>
          </w:p>
        </w:tc>
        <w:tc>
          <w:tcPr>
            <w:tcW w:w="995" w:type="dxa"/>
            <w:noWrap/>
          </w:tcPr>
          <w:p w14:paraId="59579078" w14:textId="3F218423" w:rsidR="00DC25B3" w:rsidRPr="00A16857" w:rsidRDefault="00DC25B3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756B8B">
              <w:rPr>
                <w:b/>
                <w:bCs/>
                <w:sz w:val="20"/>
                <w:szCs w:val="20"/>
              </w:rPr>
              <w:t>516.44</w:t>
            </w:r>
          </w:p>
        </w:tc>
        <w:tc>
          <w:tcPr>
            <w:tcW w:w="995" w:type="dxa"/>
            <w:noWrap/>
          </w:tcPr>
          <w:p w14:paraId="59579079" w14:textId="47862554" w:rsidR="00DC25B3" w:rsidRPr="00A16857" w:rsidRDefault="00DC25B3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</w:t>
            </w:r>
            <w:r w:rsidR="00756B8B">
              <w:rPr>
                <w:b/>
                <w:bCs/>
                <w:sz w:val="20"/>
                <w:szCs w:val="20"/>
              </w:rPr>
              <w:t>733.07</w:t>
            </w:r>
          </w:p>
        </w:tc>
        <w:tc>
          <w:tcPr>
            <w:tcW w:w="995" w:type="dxa"/>
            <w:noWrap/>
          </w:tcPr>
          <w:p w14:paraId="5957907A" w14:textId="4A0F6EC0" w:rsidR="00DC25B3" w:rsidRPr="00F844C2" w:rsidRDefault="00DC25B3" w:rsidP="00017D84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844C2">
              <w:rPr>
                <w:b/>
                <w:bCs/>
                <w:sz w:val="20"/>
                <w:szCs w:val="20"/>
                <w:highlight w:val="yellow"/>
              </w:rPr>
              <w:t>1,</w:t>
            </w:r>
            <w:r w:rsidR="00454A31">
              <w:rPr>
                <w:b/>
                <w:bCs/>
                <w:sz w:val="20"/>
                <w:szCs w:val="20"/>
                <w:highlight w:val="yellow"/>
              </w:rPr>
              <w:t>949.71</w:t>
            </w:r>
          </w:p>
        </w:tc>
        <w:tc>
          <w:tcPr>
            <w:tcW w:w="995" w:type="dxa"/>
            <w:noWrap/>
          </w:tcPr>
          <w:p w14:paraId="5957907B" w14:textId="64227535" w:rsidR="00DC25B3" w:rsidRPr="00A16857" w:rsidRDefault="00DC25B3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</w:t>
            </w:r>
            <w:r w:rsidR="00CD5542">
              <w:rPr>
                <w:b/>
                <w:bCs/>
                <w:sz w:val="20"/>
                <w:szCs w:val="20"/>
              </w:rPr>
              <w:t>382.25</w:t>
            </w:r>
          </w:p>
        </w:tc>
        <w:tc>
          <w:tcPr>
            <w:tcW w:w="995" w:type="dxa"/>
            <w:noWrap/>
          </w:tcPr>
          <w:p w14:paraId="5957907C" w14:textId="1D4751D1" w:rsidR="00DC25B3" w:rsidRPr="00A16857" w:rsidRDefault="00DC25B3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</w:t>
            </w:r>
            <w:r w:rsidR="00CD5542">
              <w:rPr>
                <w:b/>
                <w:bCs/>
                <w:sz w:val="20"/>
                <w:szCs w:val="20"/>
              </w:rPr>
              <w:t>816.25</w:t>
            </w:r>
          </w:p>
        </w:tc>
        <w:tc>
          <w:tcPr>
            <w:tcW w:w="995" w:type="dxa"/>
            <w:noWrap/>
          </w:tcPr>
          <w:p w14:paraId="5957907D" w14:textId="1BF888E8" w:rsidR="00DC25B3" w:rsidRPr="00A16857" w:rsidRDefault="00EA09DE" w:rsidP="00017D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DC25B3">
              <w:rPr>
                <w:b/>
                <w:bCs/>
                <w:sz w:val="20"/>
                <w:szCs w:val="20"/>
              </w:rPr>
              <w:t>,</w:t>
            </w:r>
            <w:r w:rsidR="009250DD">
              <w:rPr>
                <w:b/>
                <w:bCs/>
                <w:sz w:val="20"/>
                <w:szCs w:val="20"/>
              </w:rPr>
              <w:t>249.52</w:t>
            </w:r>
          </w:p>
        </w:tc>
        <w:tc>
          <w:tcPr>
            <w:tcW w:w="995" w:type="dxa"/>
            <w:noWrap/>
          </w:tcPr>
          <w:p w14:paraId="5957907E" w14:textId="219C6B44" w:rsidR="00DC25B3" w:rsidRPr="00A16857" w:rsidRDefault="00DC25B3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</w:t>
            </w:r>
            <w:r w:rsidR="009250DD">
              <w:rPr>
                <w:b/>
                <w:bCs/>
                <w:sz w:val="20"/>
                <w:szCs w:val="20"/>
              </w:rPr>
              <w:t>899.42</w:t>
            </w:r>
          </w:p>
        </w:tc>
        <w:tc>
          <w:tcPr>
            <w:tcW w:w="1295" w:type="dxa"/>
            <w:noWrap/>
            <w:hideMark/>
          </w:tcPr>
          <w:p w14:paraId="5957907F" w14:textId="646DCA73" w:rsidR="00DC25B3" w:rsidRPr="00A16857" w:rsidRDefault="003835B4" w:rsidP="00DC25B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5.84</w:t>
            </w:r>
            <w:r w:rsidR="00DC25B3" w:rsidRPr="00A1685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9250DD" w:rsidRPr="00A16857" w14:paraId="5957908B" w14:textId="77777777" w:rsidTr="003B7BB8">
        <w:trPr>
          <w:trHeight w:val="255"/>
          <w:jc w:val="center"/>
        </w:trPr>
        <w:tc>
          <w:tcPr>
            <w:tcW w:w="1827" w:type="dxa"/>
            <w:noWrap/>
            <w:hideMark/>
          </w:tcPr>
          <w:p w14:paraId="59579081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noWrap/>
            <w:hideMark/>
          </w:tcPr>
          <w:p w14:paraId="59579082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83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84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85" w14:textId="77777777" w:rsidR="00DC25B3" w:rsidRPr="007D61F1" w:rsidRDefault="00DC25B3" w:rsidP="00DC25B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86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87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88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  <w:tc>
          <w:tcPr>
            <w:tcW w:w="995" w:type="dxa"/>
            <w:noWrap/>
            <w:hideMark/>
          </w:tcPr>
          <w:p w14:paraId="59579089" w14:textId="77777777" w:rsidR="00DC25B3" w:rsidRPr="00A16857" w:rsidRDefault="00DC25B3" w:rsidP="00CB77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noWrap/>
            <w:hideMark/>
          </w:tcPr>
          <w:p w14:paraId="5957908A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</w:tr>
      <w:tr w:rsidR="009250DD" w:rsidRPr="00A16857" w14:paraId="59579096" w14:textId="77777777" w:rsidTr="00555D72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908C" w14:textId="237C05F4" w:rsidR="00DC25B3" w:rsidRPr="000E1993" w:rsidRDefault="00DC25B3" w:rsidP="00DC25B3">
            <w:pPr>
              <w:rPr>
                <w:b/>
                <w:sz w:val="20"/>
                <w:szCs w:val="20"/>
              </w:rPr>
            </w:pPr>
            <w:r w:rsidRPr="000E1993">
              <w:rPr>
                <w:b/>
                <w:sz w:val="20"/>
                <w:szCs w:val="20"/>
              </w:rPr>
              <w:t>ASC Precept @ 202</w:t>
            </w:r>
            <w:r w:rsidR="00485E84">
              <w:rPr>
                <w:b/>
                <w:sz w:val="20"/>
                <w:szCs w:val="20"/>
              </w:rPr>
              <w:t>3</w:t>
            </w:r>
            <w:r w:rsidRPr="000E1993">
              <w:rPr>
                <w:b/>
                <w:sz w:val="20"/>
                <w:szCs w:val="20"/>
              </w:rPr>
              <w:t>/2</w:t>
            </w:r>
            <w:r w:rsidR="00485E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6" w:type="dxa"/>
            <w:noWrap/>
          </w:tcPr>
          <w:p w14:paraId="5957908D" w14:textId="77687A46" w:rsidR="00DC25B3" w:rsidRPr="00A16857" w:rsidRDefault="00485E84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126.53</w:t>
            </w:r>
          </w:p>
        </w:tc>
        <w:tc>
          <w:tcPr>
            <w:tcW w:w="995" w:type="dxa"/>
            <w:noWrap/>
          </w:tcPr>
          <w:p w14:paraId="5957908E" w14:textId="138B52E7" w:rsidR="00DC25B3" w:rsidRPr="00A16857" w:rsidRDefault="000F31A3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85E84">
              <w:rPr>
                <w:b/>
                <w:bCs/>
                <w:sz w:val="20"/>
                <w:szCs w:val="20"/>
              </w:rPr>
              <w:t>47.62</w:t>
            </w:r>
          </w:p>
        </w:tc>
        <w:tc>
          <w:tcPr>
            <w:tcW w:w="995" w:type="dxa"/>
            <w:noWrap/>
          </w:tcPr>
          <w:p w14:paraId="5957908F" w14:textId="4FDAC32C" w:rsidR="00DC25B3" w:rsidRPr="00A16857" w:rsidRDefault="00485E84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168.71</w:t>
            </w:r>
          </w:p>
        </w:tc>
        <w:tc>
          <w:tcPr>
            <w:tcW w:w="995" w:type="dxa"/>
            <w:noWrap/>
          </w:tcPr>
          <w:p w14:paraId="59579090" w14:textId="20CFECB2" w:rsidR="00DC25B3" w:rsidRPr="00572A8D" w:rsidRDefault="00C44CC3" w:rsidP="0069420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72A8D">
              <w:rPr>
                <w:b/>
                <w:bCs/>
                <w:sz w:val="20"/>
                <w:szCs w:val="20"/>
                <w:highlight w:val="yellow"/>
              </w:rPr>
              <w:t>189.80</w:t>
            </w:r>
          </w:p>
        </w:tc>
        <w:tc>
          <w:tcPr>
            <w:tcW w:w="995" w:type="dxa"/>
            <w:noWrap/>
          </w:tcPr>
          <w:p w14:paraId="59579091" w14:textId="6DE47E03" w:rsidR="00DC25B3" w:rsidRPr="00A16857" w:rsidRDefault="005859A1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84829">
              <w:rPr>
                <w:b/>
                <w:bCs/>
                <w:sz w:val="20"/>
                <w:szCs w:val="20"/>
              </w:rPr>
              <w:t>31.98</w:t>
            </w:r>
          </w:p>
        </w:tc>
        <w:tc>
          <w:tcPr>
            <w:tcW w:w="995" w:type="dxa"/>
            <w:noWrap/>
          </w:tcPr>
          <w:p w14:paraId="59579092" w14:textId="6FBA0CAB" w:rsidR="00DC25B3" w:rsidRPr="00A16857" w:rsidRDefault="00F84829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274.16</w:t>
            </w:r>
          </w:p>
        </w:tc>
        <w:tc>
          <w:tcPr>
            <w:tcW w:w="995" w:type="dxa"/>
            <w:noWrap/>
          </w:tcPr>
          <w:p w14:paraId="59579093" w14:textId="159A9237" w:rsidR="00DC25B3" w:rsidRPr="00A16857" w:rsidRDefault="00485E84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84829">
              <w:rPr>
                <w:b/>
                <w:bCs/>
                <w:sz w:val="20"/>
                <w:szCs w:val="20"/>
              </w:rPr>
              <w:t>16.33</w:t>
            </w:r>
          </w:p>
        </w:tc>
        <w:tc>
          <w:tcPr>
            <w:tcW w:w="995" w:type="dxa"/>
            <w:noWrap/>
          </w:tcPr>
          <w:p w14:paraId="59579094" w14:textId="162E641C" w:rsidR="00DC25B3" w:rsidRPr="00A16857" w:rsidRDefault="001636BB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379.60</w:t>
            </w:r>
          </w:p>
        </w:tc>
        <w:tc>
          <w:tcPr>
            <w:tcW w:w="1295" w:type="dxa"/>
            <w:noWrap/>
            <w:hideMark/>
          </w:tcPr>
          <w:p w14:paraId="59579095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</w:tr>
      <w:tr w:rsidR="009250DD" w:rsidRPr="00A16857" w14:paraId="595790A1" w14:textId="77777777" w:rsidTr="00A55DD1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9097" w14:textId="7E0571B6" w:rsidR="00DC25B3" w:rsidRPr="000E1993" w:rsidRDefault="00DC25B3" w:rsidP="00DC25B3">
            <w:pPr>
              <w:rPr>
                <w:b/>
                <w:sz w:val="20"/>
                <w:szCs w:val="20"/>
              </w:rPr>
            </w:pPr>
            <w:bookmarkStart w:id="1" w:name="_Hlk34315265"/>
            <w:r w:rsidRPr="000E1993">
              <w:rPr>
                <w:b/>
                <w:sz w:val="20"/>
                <w:szCs w:val="20"/>
              </w:rPr>
              <w:t>Adult Social Care Precept increase 202</w:t>
            </w:r>
            <w:r w:rsidR="00CB19A2">
              <w:rPr>
                <w:b/>
                <w:sz w:val="20"/>
                <w:szCs w:val="20"/>
              </w:rPr>
              <w:t>4/25</w:t>
            </w:r>
          </w:p>
        </w:tc>
        <w:tc>
          <w:tcPr>
            <w:tcW w:w="1036" w:type="dxa"/>
            <w:noWrap/>
          </w:tcPr>
          <w:p w14:paraId="59579098" w14:textId="223D2A75" w:rsidR="00DC25B3" w:rsidRPr="003B7BB8" w:rsidRDefault="00017F13" w:rsidP="0069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18.78</w:t>
            </w:r>
          </w:p>
        </w:tc>
        <w:tc>
          <w:tcPr>
            <w:tcW w:w="995" w:type="dxa"/>
            <w:noWrap/>
          </w:tcPr>
          <w:p w14:paraId="59579099" w14:textId="32749977" w:rsidR="00DC25B3" w:rsidRPr="00A16857" w:rsidRDefault="005F0549" w:rsidP="0069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0444">
              <w:rPr>
                <w:sz w:val="20"/>
                <w:szCs w:val="20"/>
              </w:rPr>
              <w:t>1.91</w:t>
            </w:r>
          </w:p>
        </w:tc>
        <w:tc>
          <w:tcPr>
            <w:tcW w:w="995" w:type="dxa"/>
            <w:noWrap/>
          </w:tcPr>
          <w:p w14:paraId="5957909A" w14:textId="6B918DDF" w:rsidR="00DC25B3" w:rsidRPr="00A16857" w:rsidRDefault="00BB0444" w:rsidP="0069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</w:t>
            </w:r>
          </w:p>
        </w:tc>
        <w:tc>
          <w:tcPr>
            <w:tcW w:w="995" w:type="dxa"/>
            <w:noWrap/>
          </w:tcPr>
          <w:p w14:paraId="5957909B" w14:textId="59182E3E" w:rsidR="00DC25B3" w:rsidRPr="00572A8D" w:rsidRDefault="00F46753" w:rsidP="0069420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72A8D">
              <w:rPr>
                <w:b/>
                <w:bCs/>
                <w:sz w:val="20"/>
                <w:szCs w:val="20"/>
                <w:highlight w:val="yellow"/>
              </w:rPr>
              <w:t>2</w:t>
            </w:r>
            <w:r w:rsidR="00572A8D" w:rsidRPr="00572A8D">
              <w:rPr>
                <w:b/>
                <w:bCs/>
                <w:sz w:val="20"/>
                <w:szCs w:val="20"/>
                <w:highlight w:val="yellow"/>
              </w:rPr>
              <w:t>8</w:t>
            </w:r>
            <w:r w:rsidRPr="00572A8D">
              <w:rPr>
                <w:b/>
                <w:bCs/>
                <w:sz w:val="20"/>
                <w:szCs w:val="20"/>
                <w:highlight w:val="yellow"/>
              </w:rPr>
              <w:t>.</w:t>
            </w:r>
            <w:r w:rsidR="00C44CC3" w:rsidRPr="00572A8D">
              <w:rPr>
                <w:b/>
                <w:bCs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995" w:type="dxa"/>
            <w:noWrap/>
          </w:tcPr>
          <w:p w14:paraId="5957909C" w14:textId="1960544F" w:rsidR="00DC25B3" w:rsidRPr="00A16857" w:rsidRDefault="00040408" w:rsidP="0069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636BB">
              <w:rPr>
                <w:sz w:val="20"/>
                <w:szCs w:val="20"/>
              </w:rPr>
              <w:t>4.42</w:t>
            </w:r>
          </w:p>
        </w:tc>
        <w:tc>
          <w:tcPr>
            <w:tcW w:w="995" w:type="dxa"/>
            <w:noWrap/>
          </w:tcPr>
          <w:p w14:paraId="5957909D" w14:textId="4EC043D1" w:rsidR="00DC25B3" w:rsidRPr="00A16857" w:rsidRDefault="00DA7BC9" w:rsidP="0069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40.67</w:t>
            </w:r>
          </w:p>
        </w:tc>
        <w:tc>
          <w:tcPr>
            <w:tcW w:w="995" w:type="dxa"/>
            <w:noWrap/>
          </w:tcPr>
          <w:p w14:paraId="5957909E" w14:textId="156CB693" w:rsidR="00DC25B3" w:rsidRPr="00A16857" w:rsidRDefault="0055345A" w:rsidP="00694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7ACE">
              <w:rPr>
                <w:sz w:val="20"/>
                <w:szCs w:val="20"/>
              </w:rPr>
              <w:t>6.94</w:t>
            </w:r>
          </w:p>
        </w:tc>
        <w:tc>
          <w:tcPr>
            <w:tcW w:w="995" w:type="dxa"/>
            <w:noWrap/>
          </w:tcPr>
          <w:p w14:paraId="5957909F" w14:textId="1BDBF80F" w:rsidR="00DC25B3" w:rsidRPr="00A16857" w:rsidRDefault="0055345A" w:rsidP="00CB7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56.32</w:t>
            </w:r>
          </w:p>
        </w:tc>
        <w:tc>
          <w:tcPr>
            <w:tcW w:w="1295" w:type="dxa"/>
            <w:noWrap/>
            <w:hideMark/>
          </w:tcPr>
          <w:p w14:paraId="595790A0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</w:tr>
      <w:tr w:rsidR="009250DD" w:rsidRPr="00A16857" w14:paraId="595790AC" w14:textId="77777777" w:rsidTr="00F83186">
        <w:trPr>
          <w:trHeight w:val="315"/>
          <w:jc w:val="center"/>
        </w:trPr>
        <w:tc>
          <w:tcPr>
            <w:tcW w:w="1827" w:type="dxa"/>
            <w:noWrap/>
            <w:hideMark/>
          </w:tcPr>
          <w:p w14:paraId="595790A2" w14:textId="77777777" w:rsidR="00DC25B3" w:rsidRPr="003B7BB8" w:rsidRDefault="00DC25B3" w:rsidP="00DC25B3">
            <w:pPr>
              <w:rPr>
                <w:b/>
                <w:sz w:val="20"/>
                <w:szCs w:val="20"/>
              </w:rPr>
            </w:pPr>
            <w:bookmarkStart w:id="2" w:name="_Hlk65586508"/>
            <w:bookmarkEnd w:id="1"/>
            <w:r w:rsidRPr="003B7BB8">
              <w:rPr>
                <w:b/>
                <w:sz w:val="20"/>
                <w:szCs w:val="20"/>
              </w:rPr>
              <w:t xml:space="preserve">Adult Social Care </w:t>
            </w:r>
            <w:r>
              <w:rPr>
                <w:b/>
                <w:sz w:val="20"/>
                <w:szCs w:val="20"/>
              </w:rPr>
              <w:t>P</w:t>
            </w:r>
            <w:r w:rsidRPr="003B7BB8">
              <w:rPr>
                <w:b/>
                <w:sz w:val="20"/>
                <w:szCs w:val="20"/>
              </w:rPr>
              <w:t xml:space="preserve">recept shown on the Council tax bill </w:t>
            </w:r>
          </w:p>
        </w:tc>
        <w:tc>
          <w:tcPr>
            <w:tcW w:w="1036" w:type="dxa"/>
            <w:noWrap/>
          </w:tcPr>
          <w:p w14:paraId="595790A3" w14:textId="327B4C40" w:rsidR="00DC25B3" w:rsidRPr="00A16857" w:rsidRDefault="00D20470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145.31</w:t>
            </w:r>
          </w:p>
        </w:tc>
        <w:tc>
          <w:tcPr>
            <w:tcW w:w="995" w:type="dxa"/>
            <w:noWrap/>
          </w:tcPr>
          <w:p w14:paraId="595790A4" w14:textId="14D1196F" w:rsidR="00DC25B3" w:rsidRPr="00A16857" w:rsidRDefault="00DC25B3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20470">
              <w:rPr>
                <w:b/>
                <w:bCs/>
                <w:sz w:val="20"/>
                <w:szCs w:val="20"/>
              </w:rPr>
              <w:t>69.53</w:t>
            </w:r>
          </w:p>
        </w:tc>
        <w:tc>
          <w:tcPr>
            <w:tcW w:w="995" w:type="dxa"/>
            <w:noWrap/>
          </w:tcPr>
          <w:p w14:paraId="595790A5" w14:textId="6BB0971E" w:rsidR="00DC25B3" w:rsidRPr="00A16857" w:rsidRDefault="00DC25B3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20470">
              <w:rPr>
                <w:b/>
                <w:bCs/>
                <w:sz w:val="20"/>
                <w:szCs w:val="20"/>
              </w:rPr>
              <w:t>93.74</w:t>
            </w:r>
          </w:p>
        </w:tc>
        <w:tc>
          <w:tcPr>
            <w:tcW w:w="995" w:type="dxa"/>
            <w:noWrap/>
          </w:tcPr>
          <w:p w14:paraId="595790A6" w14:textId="627DA566" w:rsidR="00DC25B3" w:rsidRPr="00572A8D" w:rsidRDefault="00572A8D" w:rsidP="00694206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72A8D">
              <w:rPr>
                <w:b/>
                <w:bCs/>
                <w:sz w:val="20"/>
                <w:szCs w:val="20"/>
                <w:highlight w:val="yellow"/>
              </w:rPr>
              <w:t>217.96</w:t>
            </w:r>
          </w:p>
        </w:tc>
        <w:tc>
          <w:tcPr>
            <w:tcW w:w="995" w:type="dxa"/>
            <w:noWrap/>
          </w:tcPr>
          <w:p w14:paraId="595790A7" w14:textId="54293F93" w:rsidR="00DC25B3" w:rsidRPr="00A16857" w:rsidRDefault="00AD3709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266.40</w:t>
            </w:r>
          </w:p>
        </w:tc>
        <w:tc>
          <w:tcPr>
            <w:tcW w:w="995" w:type="dxa"/>
            <w:noWrap/>
          </w:tcPr>
          <w:p w14:paraId="595790A8" w14:textId="4BCACB34" w:rsidR="00DC25B3" w:rsidRPr="00A16857" w:rsidRDefault="00AD3709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314.83</w:t>
            </w:r>
          </w:p>
        </w:tc>
        <w:tc>
          <w:tcPr>
            <w:tcW w:w="995" w:type="dxa"/>
            <w:noWrap/>
          </w:tcPr>
          <w:p w14:paraId="595790A9" w14:textId="5C9E60A2" w:rsidR="00DC25B3" w:rsidRPr="00A16857" w:rsidRDefault="00254097" w:rsidP="006942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D3709">
              <w:rPr>
                <w:b/>
                <w:bCs/>
                <w:sz w:val="20"/>
                <w:szCs w:val="20"/>
              </w:rPr>
              <w:t>63.</w:t>
            </w:r>
            <w:r w:rsidR="003D381E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5" w:type="dxa"/>
            <w:noWrap/>
          </w:tcPr>
          <w:p w14:paraId="595790AA" w14:textId="22F459C2" w:rsidR="00DC25B3" w:rsidRPr="00A16857" w:rsidRDefault="00AD3709" w:rsidP="00CB77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435.92</w:t>
            </w:r>
          </w:p>
        </w:tc>
        <w:tc>
          <w:tcPr>
            <w:tcW w:w="1295" w:type="dxa"/>
            <w:noWrap/>
            <w:hideMark/>
          </w:tcPr>
          <w:p w14:paraId="595790AB" w14:textId="77777777" w:rsidR="00DC25B3" w:rsidRPr="00A16857" w:rsidRDefault="00DC25B3" w:rsidP="00DC25B3">
            <w:pPr>
              <w:rPr>
                <w:sz w:val="20"/>
                <w:szCs w:val="20"/>
              </w:rPr>
            </w:pPr>
          </w:p>
        </w:tc>
      </w:tr>
    </w:tbl>
    <w:bookmarkEnd w:id="2"/>
    <w:p w14:paraId="595790AD" w14:textId="77777777" w:rsidR="00956247" w:rsidRPr="00956247" w:rsidRDefault="00A16857" w:rsidP="00956247">
      <w:r>
        <w:lastRenderedPageBreak/>
        <w:t xml:space="preserve"> </w:t>
      </w:r>
    </w:p>
    <w:sectPr w:rsidR="00956247" w:rsidRPr="00956247" w:rsidSect="00DA0978">
      <w:pgSz w:w="11906" w:h="16838" w:code="9"/>
      <w:pgMar w:top="567" w:right="340" w:bottom="567" w:left="3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AAC6" w14:textId="77777777" w:rsidR="00AD0B99" w:rsidRDefault="00AD0B99" w:rsidP="0099165F">
      <w:r>
        <w:separator/>
      </w:r>
    </w:p>
  </w:endnote>
  <w:endnote w:type="continuationSeparator" w:id="0">
    <w:p w14:paraId="3D2D1F06" w14:textId="77777777" w:rsidR="00AD0B99" w:rsidRDefault="00AD0B99" w:rsidP="0099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A767" w14:textId="77777777" w:rsidR="00AD0B99" w:rsidRDefault="00AD0B99" w:rsidP="0099165F">
      <w:r>
        <w:separator/>
      </w:r>
    </w:p>
  </w:footnote>
  <w:footnote w:type="continuationSeparator" w:id="0">
    <w:p w14:paraId="7A2B9AD3" w14:textId="77777777" w:rsidR="00AD0B99" w:rsidRDefault="00AD0B99" w:rsidP="00991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57"/>
    <w:rsid w:val="00007E8F"/>
    <w:rsid w:val="00017D84"/>
    <w:rsid w:val="00017F13"/>
    <w:rsid w:val="000242F2"/>
    <w:rsid w:val="00030B33"/>
    <w:rsid w:val="00037B97"/>
    <w:rsid w:val="00040408"/>
    <w:rsid w:val="000603D7"/>
    <w:rsid w:val="00062CF2"/>
    <w:rsid w:val="0007206D"/>
    <w:rsid w:val="0007213E"/>
    <w:rsid w:val="000A0276"/>
    <w:rsid w:val="000A05C5"/>
    <w:rsid w:val="000A6152"/>
    <w:rsid w:val="000B5956"/>
    <w:rsid w:val="000B6CDD"/>
    <w:rsid w:val="000D190A"/>
    <w:rsid w:val="000D29D8"/>
    <w:rsid w:val="000D3B85"/>
    <w:rsid w:val="000D439F"/>
    <w:rsid w:val="000E1993"/>
    <w:rsid w:val="000E4DCD"/>
    <w:rsid w:val="000E6701"/>
    <w:rsid w:val="000E6900"/>
    <w:rsid w:val="000F31A3"/>
    <w:rsid w:val="000F43E0"/>
    <w:rsid w:val="000F68D4"/>
    <w:rsid w:val="0010761C"/>
    <w:rsid w:val="00112B81"/>
    <w:rsid w:val="001161C4"/>
    <w:rsid w:val="00134F0E"/>
    <w:rsid w:val="00144466"/>
    <w:rsid w:val="00145386"/>
    <w:rsid w:val="001526D7"/>
    <w:rsid w:val="001636BB"/>
    <w:rsid w:val="0017103E"/>
    <w:rsid w:val="00173B71"/>
    <w:rsid w:val="00181E3F"/>
    <w:rsid w:val="00184EED"/>
    <w:rsid w:val="001863E7"/>
    <w:rsid w:val="00193E36"/>
    <w:rsid w:val="001964C3"/>
    <w:rsid w:val="001A0E5B"/>
    <w:rsid w:val="001A7D56"/>
    <w:rsid w:val="001C140D"/>
    <w:rsid w:val="001D1B8E"/>
    <w:rsid w:val="001D43F6"/>
    <w:rsid w:val="001E1EA3"/>
    <w:rsid w:val="00217B34"/>
    <w:rsid w:val="00222ACC"/>
    <w:rsid w:val="0022668A"/>
    <w:rsid w:val="00240F33"/>
    <w:rsid w:val="00241FF5"/>
    <w:rsid w:val="00242C51"/>
    <w:rsid w:val="002527F0"/>
    <w:rsid w:val="00254097"/>
    <w:rsid w:val="0028515B"/>
    <w:rsid w:val="00294B23"/>
    <w:rsid w:val="002A421B"/>
    <w:rsid w:val="002B27D0"/>
    <w:rsid w:val="002D09B0"/>
    <w:rsid w:val="002D2089"/>
    <w:rsid w:val="002D7CE4"/>
    <w:rsid w:val="002E2A7B"/>
    <w:rsid w:val="002E4E43"/>
    <w:rsid w:val="002F673A"/>
    <w:rsid w:val="00311242"/>
    <w:rsid w:val="00311FBB"/>
    <w:rsid w:val="00322F9D"/>
    <w:rsid w:val="003266E6"/>
    <w:rsid w:val="00330871"/>
    <w:rsid w:val="00333ED4"/>
    <w:rsid w:val="003344A2"/>
    <w:rsid w:val="003348F0"/>
    <w:rsid w:val="0034660B"/>
    <w:rsid w:val="00354A35"/>
    <w:rsid w:val="00355BF7"/>
    <w:rsid w:val="00362DD8"/>
    <w:rsid w:val="00364066"/>
    <w:rsid w:val="00364ACF"/>
    <w:rsid w:val="003702A0"/>
    <w:rsid w:val="00381417"/>
    <w:rsid w:val="003835B4"/>
    <w:rsid w:val="0038583A"/>
    <w:rsid w:val="003A073E"/>
    <w:rsid w:val="003B0D82"/>
    <w:rsid w:val="003B679A"/>
    <w:rsid w:val="003B7ACE"/>
    <w:rsid w:val="003B7BB8"/>
    <w:rsid w:val="003C1531"/>
    <w:rsid w:val="003D381E"/>
    <w:rsid w:val="003E7469"/>
    <w:rsid w:val="0041735C"/>
    <w:rsid w:val="004211E7"/>
    <w:rsid w:val="004243EB"/>
    <w:rsid w:val="00430D99"/>
    <w:rsid w:val="00430FEF"/>
    <w:rsid w:val="00432951"/>
    <w:rsid w:val="004360B2"/>
    <w:rsid w:val="00437291"/>
    <w:rsid w:val="00444242"/>
    <w:rsid w:val="00451E2A"/>
    <w:rsid w:val="00454A31"/>
    <w:rsid w:val="004640DA"/>
    <w:rsid w:val="004730A3"/>
    <w:rsid w:val="00473958"/>
    <w:rsid w:val="00474FA3"/>
    <w:rsid w:val="00483DCA"/>
    <w:rsid w:val="00485E84"/>
    <w:rsid w:val="004907BE"/>
    <w:rsid w:val="00490865"/>
    <w:rsid w:val="004909AC"/>
    <w:rsid w:val="004A23F5"/>
    <w:rsid w:val="004A43F4"/>
    <w:rsid w:val="004A5694"/>
    <w:rsid w:val="004B166F"/>
    <w:rsid w:val="004B16DF"/>
    <w:rsid w:val="004B72FA"/>
    <w:rsid w:val="004C0CFC"/>
    <w:rsid w:val="004C48E3"/>
    <w:rsid w:val="004C531C"/>
    <w:rsid w:val="004D6E0F"/>
    <w:rsid w:val="004F5797"/>
    <w:rsid w:val="00506C9D"/>
    <w:rsid w:val="00511E75"/>
    <w:rsid w:val="005157BE"/>
    <w:rsid w:val="00533532"/>
    <w:rsid w:val="00533D06"/>
    <w:rsid w:val="00542E77"/>
    <w:rsid w:val="00543323"/>
    <w:rsid w:val="005460C5"/>
    <w:rsid w:val="005524F2"/>
    <w:rsid w:val="0055345A"/>
    <w:rsid w:val="00555D72"/>
    <w:rsid w:val="005626EF"/>
    <w:rsid w:val="00567872"/>
    <w:rsid w:val="00572245"/>
    <w:rsid w:val="00572A8D"/>
    <w:rsid w:val="00572F67"/>
    <w:rsid w:val="00573418"/>
    <w:rsid w:val="00577D71"/>
    <w:rsid w:val="005859A1"/>
    <w:rsid w:val="00587612"/>
    <w:rsid w:val="0059067C"/>
    <w:rsid w:val="005A0EDE"/>
    <w:rsid w:val="005A22B7"/>
    <w:rsid w:val="005B01F0"/>
    <w:rsid w:val="005B31DD"/>
    <w:rsid w:val="005B5015"/>
    <w:rsid w:val="005B6A94"/>
    <w:rsid w:val="005C44E7"/>
    <w:rsid w:val="005D2BBC"/>
    <w:rsid w:val="005D5063"/>
    <w:rsid w:val="005D6905"/>
    <w:rsid w:val="005E3641"/>
    <w:rsid w:val="005E6822"/>
    <w:rsid w:val="005F0549"/>
    <w:rsid w:val="005F45D5"/>
    <w:rsid w:val="00600DD7"/>
    <w:rsid w:val="00602F33"/>
    <w:rsid w:val="006052D8"/>
    <w:rsid w:val="006116EA"/>
    <w:rsid w:val="00617479"/>
    <w:rsid w:val="00657009"/>
    <w:rsid w:val="00670750"/>
    <w:rsid w:val="006708FA"/>
    <w:rsid w:val="006941DA"/>
    <w:rsid w:val="00694206"/>
    <w:rsid w:val="006A1B22"/>
    <w:rsid w:val="006B0A87"/>
    <w:rsid w:val="006B1499"/>
    <w:rsid w:val="006B25A6"/>
    <w:rsid w:val="006B3D21"/>
    <w:rsid w:val="006B400E"/>
    <w:rsid w:val="006F3FD4"/>
    <w:rsid w:val="006F7C12"/>
    <w:rsid w:val="007027CF"/>
    <w:rsid w:val="0070479E"/>
    <w:rsid w:val="00707CCE"/>
    <w:rsid w:val="007212E2"/>
    <w:rsid w:val="00726C53"/>
    <w:rsid w:val="007314D5"/>
    <w:rsid w:val="00735526"/>
    <w:rsid w:val="00735D63"/>
    <w:rsid w:val="00746409"/>
    <w:rsid w:val="00746FE9"/>
    <w:rsid w:val="007476B3"/>
    <w:rsid w:val="007478A4"/>
    <w:rsid w:val="00750CD4"/>
    <w:rsid w:val="00756B8B"/>
    <w:rsid w:val="00760F6D"/>
    <w:rsid w:val="00761AE4"/>
    <w:rsid w:val="0078071F"/>
    <w:rsid w:val="00781591"/>
    <w:rsid w:val="00783717"/>
    <w:rsid w:val="00785185"/>
    <w:rsid w:val="00796CEE"/>
    <w:rsid w:val="007A7422"/>
    <w:rsid w:val="007B2BD5"/>
    <w:rsid w:val="007B4F27"/>
    <w:rsid w:val="007D2435"/>
    <w:rsid w:val="007D61F1"/>
    <w:rsid w:val="007E009C"/>
    <w:rsid w:val="007E1481"/>
    <w:rsid w:val="007E6A21"/>
    <w:rsid w:val="00803EB4"/>
    <w:rsid w:val="008174D7"/>
    <w:rsid w:val="00817CA0"/>
    <w:rsid w:val="00840714"/>
    <w:rsid w:val="00843848"/>
    <w:rsid w:val="00847D88"/>
    <w:rsid w:val="0086509A"/>
    <w:rsid w:val="00874254"/>
    <w:rsid w:val="00884843"/>
    <w:rsid w:val="0089360B"/>
    <w:rsid w:val="008A138A"/>
    <w:rsid w:val="008A5C90"/>
    <w:rsid w:val="008B2008"/>
    <w:rsid w:val="008D2F9E"/>
    <w:rsid w:val="008D691E"/>
    <w:rsid w:val="008E17C2"/>
    <w:rsid w:val="008E7068"/>
    <w:rsid w:val="008E7761"/>
    <w:rsid w:val="008F0425"/>
    <w:rsid w:val="008F1C7A"/>
    <w:rsid w:val="00907BAC"/>
    <w:rsid w:val="0091506D"/>
    <w:rsid w:val="00923F6E"/>
    <w:rsid w:val="009250DD"/>
    <w:rsid w:val="009513A8"/>
    <w:rsid w:val="0095190A"/>
    <w:rsid w:val="00956247"/>
    <w:rsid w:val="00956740"/>
    <w:rsid w:val="009777C8"/>
    <w:rsid w:val="00981424"/>
    <w:rsid w:val="0098156C"/>
    <w:rsid w:val="00984C86"/>
    <w:rsid w:val="00984FAC"/>
    <w:rsid w:val="0099165F"/>
    <w:rsid w:val="009A4C30"/>
    <w:rsid w:val="009B341D"/>
    <w:rsid w:val="009B357E"/>
    <w:rsid w:val="009C396A"/>
    <w:rsid w:val="009C6C07"/>
    <w:rsid w:val="009D6D06"/>
    <w:rsid w:val="009F5691"/>
    <w:rsid w:val="009F5D2D"/>
    <w:rsid w:val="00A011F5"/>
    <w:rsid w:val="00A02D47"/>
    <w:rsid w:val="00A04315"/>
    <w:rsid w:val="00A13692"/>
    <w:rsid w:val="00A16857"/>
    <w:rsid w:val="00A24C01"/>
    <w:rsid w:val="00A33C6F"/>
    <w:rsid w:val="00A437FD"/>
    <w:rsid w:val="00A45684"/>
    <w:rsid w:val="00A5339D"/>
    <w:rsid w:val="00A55DD1"/>
    <w:rsid w:val="00A56AF5"/>
    <w:rsid w:val="00A640FC"/>
    <w:rsid w:val="00A75052"/>
    <w:rsid w:val="00A87B86"/>
    <w:rsid w:val="00AA08AA"/>
    <w:rsid w:val="00AA3A4C"/>
    <w:rsid w:val="00AA7DA1"/>
    <w:rsid w:val="00AD0B99"/>
    <w:rsid w:val="00AD19DD"/>
    <w:rsid w:val="00AD3709"/>
    <w:rsid w:val="00AE7363"/>
    <w:rsid w:val="00AE7EB4"/>
    <w:rsid w:val="00AF4586"/>
    <w:rsid w:val="00B25E6C"/>
    <w:rsid w:val="00B958C2"/>
    <w:rsid w:val="00BA3CFB"/>
    <w:rsid w:val="00BB0444"/>
    <w:rsid w:val="00BB6EB0"/>
    <w:rsid w:val="00BC1F3B"/>
    <w:rsid w:val="00BC27A2"/>
    <w:rsid w:val="00BF12C2"/>
    <w:rsid w:val="00C00319"/>
    <w:rsid w:val="00C131FF"/>
    <w:rsid w:val="00C16291"/>
    <w:rsid w:val="00C322F2"/>
    <w:rsid w:val="00C44CC3"/>
    <w:rsid w:val="00C47AE2"/>
    <w:rsid w:val="00C5281E"/>
    <w:rsid w:val="00C757A1"/>
    <w:rsid w:val="00C85BF1"/>
    <w:rsid w:val="00C9424E"/>
    <w:rsid w:val="00CB19A2"/>
    <w:rsid w:val="00CB5282"/>
    <w:rsid w:val="00CB641C"/>
    <w:rsid w:val="00CB688B"/>
    <w:rsid w:val="00CB7714"/>
    <w:rsid w:val="00CC1CE6"/>
    <w:rsid w:val="00CC2DA3"/>
    <w:rsid w:val="00CC7D86"/>
    <w:rsid w:val="00CD5542"/>
    <w:rsid w:val="00CF0AE2"/>
    <w:rsid w:val="00D04203"/>
    <w:rsid w:val="00D13722"/>
    <w:rsid w:val="00D1609E"/>
    <w:rsid w:val="00D20470"/>
    <w:rsid w:val="00D3456F"/>
    <w:rsid w:val="00D4145D"/>
    <w:rsid w:val="00D43D58"/>
    <w:rsid w:val="00D87EF9"/>
    <w:rsid w:val="00D94A0D"/>
    <w:rsid w:val="00D968A1"/>
    <w:rsid w:val="00DA0978"/>
    <w:rsid w:val="00DA5A43"/>
    <w:rsid w:val="00DA7BC9"/>
    <w:rsid w:val="00DB62E4"/>
    <w:rsid w:val="00DC25B3"/>
    <w:rsid w:val="00DC27A5"/>
    <w:rsid w:val="00DC3D22"/>
    <w:rsid w:val="00DC6EEC"/>
    <w:rsid w:val="00DD45B7"/>
    <w:rsid w:val="00DD6B74"/>
    <w:rsid w:val="00DD78FD"/>
    <w:rsid w:val="00DE1FD3"/>
    <w:rsid w:val="00DE2325"/>
    <w:rsid w:val="00DE3BB0"/>
    <w:rsid w:val="00E03068"/>
    <w:rsid w:val="00E04A46"/>
    <w:rsid w:val="00E07820"/>
    <w:rsid w:val="00E27331"/>
    <w:rsid w:val="00E32CEF"/>
    <w:rsid w:val="00E35CD5"/>
    <w:rsid w:val="00E37F17"/>
    <w:rsid w:val="00E450C5"/>
    <w:rsid w:val="00E5122D"/>
    <w:rsid w:val="00E6198E"/>
    <w:rsid w:val="00E82BA2"/>
    <w:rsid w:val="00E86309"/>
    <w:rsid w:val="00EA09DE"/>
    <w:rsid w:val="00EC5EE2"/>
    <w:rsid w:val="00EC6438"/>
    <w:rsid w:val="00ED51EA"/>
    <w:rsid w:val="00F00812"/>
    <w:rsid w:val="00F16CE3"/>
    <w:rsid w:val="00F46753"/>
    <w:rsid w:val="00F56344"/>
    <w:rsid w:val="00F619F7"/>
    <w:rsid w:val="00F705F3"/>
    <w:rsid w:val="00F70BA0"/>
    <w:rsid w:val="00F83186"/>
    <w:rsid w:val="00F838E3"/>
    <w:rsid w:val="00F844C2"/>
    <w:rsid w:val="00F84829"/>
    <w:rsid w:val="00FA3582"/>
    <w:rsid w:val="00FB5F57"/>
    <w:rsid w:val="00FC5694"/>
    <w:rsid w:val="00FF049F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78FE2"/>
  <w15:docId w15:val="{36062B54-92CA-4E61-A827-D1C40E35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624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6247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56247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5624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6247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956247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56247"/>
    <w:rPr>
      <w:rFonts w:ascii="Arial" w:eastAsiaTheme="majorEastAsia" w:hAnsi="Arial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56247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956247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</w:rPr>
  </w:style>
  <w:style w:type="character" w:styleId="Emphasis">
    <w:name w:val="Emphasis"/>
    <w:basedOn w:val="DefaultParagraphFont"/>
    <w:qFormat/>
    <w:rsid w:val="00956247"/>
    <w:rPr>
      <w:rFonts w:ascii="Arial" w:hAnsi="Arial"/>
      <w:b/>
      <w:i w:val="0"/>
      <w:iCs/>
    </w:rPr>
  </w:style>
  <w:style w:type="table" w:styleId="TableGrid">
    <w:name w:val="Table Grid"/>
    <w:basedOn w:val="TableNormal"/>
    <w:rsid w:val="00A1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5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5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1C0F6D47A714D9871F827210E95F8" ma:contentTypeVersion="10" ma:contentTypeDescription="Create a new document." ma:contentTypeScope="" ma:versionID="9d2975bd891a375548a959e54c67a6a9">
  <xsd:schema xmlns:xsd="http://www.w3.org/2001/XMLSchema" xmlns:xs="http://www.w3.org/2001/XMLSchema" xmlns:p="http://schemas.microsoft.com/office/2006/metadata/properties" xmlns:ns3="bc15b26c-fc17-4b4c-afed-fe782da8ef0a" targetNamespace="http://schemas.microsoft.com/office/2006/metadata/properties" ma:root="true" ma:fieldsID="bf7b1bf91ae5670e4f7103a00f9dc59f" ns3:_="">
    <xsd:import namespace="bc15b26c-fc17-4b4c-afed-fe782da8e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b26c-fc17-4b4c-afed-fe782da8e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17840-058C-489A-B201-C40C11927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5b26c-fc17-4b4c-afed-fe782da8e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5DB6EA-A071-4B40-AC42-26825EB32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68F3D-C48E-4BAC-BE06-2AA895010C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58D61-235A-47E1-967B-062327EF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Bromley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Carpenter, Jayne</dc:creator>
  <cp:lastModifiedBy>Hale, Holly</cp:lastModifiedBy>
  <cp:revision>2</cp:revision>
  <cp:lastPrinted>2024-03-04T13:06:00Z</cp:lastPrinted>
  <dcterms:created xsi:type="dcterms:W3CDTF">2024-03-14T17:23:00Z</dcterms:created>
  <dcterms:modified xsi:type="dcterms:W3CDTF">2024-03-14T17:23:00Z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0x010100A7A1C0F6D47A714D9871F827210E95F8</vt:lpwstr>
  </property>
</Properties>
</file>